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2008-1915 vom 5. August 2008</w:t>
      </w:r>
    </w:p>
    <w:p>
      <w:r>
        <w:t>Bundesverwaltung, 2008-08-05, DE</w:t>
      </w:r>
    </w:p>
    <w:p>
      <w:r>
        <w:rPr>
          <w:b/>
        </w:rPr>
        <w:t xml:space="preserve">Quelle: </w:t>
      </w:r>
      <w:r>
        <w:t>https://mcp.opencaselaw.ch/entscheid/ch_vb_02_2008-1915_</w:t>
      </w:r>
    </w:p>
    <w:p>
      <w:r>
        <w:t>FR: CH_VB 02 2008-1915 du 5 août 2008</w:t>
      </w:r>
    </w:p>
    <w:p>
      <w:r>
        <w:t>IT: CH_VB 02 2008-1915 del 5 agosto 2008</w:t>
      </w:r>
    </w:p>
    <w:p>
      <w:pPr>
        <w:pStyle w:val="Heading2"/>
      </w:pPr>
      <w:r>
        <w:t>Volltext</w:t>
      </w:r>
    </w:p>
    <w:p>
      <w:r>
        <w:t>6202 2008-1915 Exécution de la loi fédérale sur la formation professionnelle CHAMBRE FIDUCIAIRE, Chambre suisse des experts comptables et fiscaux a déposé un projet de modification de règlement concernant l’examen professionnel supérieur de Expert-comptable diplômé/Experte-comptable diplômée,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5 août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31 Cahier Numero Geschäftsnummer --- Numéro d'affaire Numero dell'oggetto Datum 05.08.2008 Date Data Seite 6202-6202 Page Pagina Ref. No 10 142 034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