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.322 vom 17. Dezember 1982</w:t>
      </w:r>
    </w:p>
    <w:p>
      <w:r>
        <w:t>Bundesverwaltung, 1982-12-17, DE</w:t>
      </w:r>
    </w:p>
    <w:p>
      <w:r>
        <w:rPr>
          <w:b/>
        </w:rPr>
        <w:t xml:space="preserve">Quelle: </w:t>
      </w:r>
      <w:r>
        <w:t>https://mcp.opencaselaw.ch/entscheid/ch_vb_.322</w:t>
      </w:r>
    </w:p>
    <w:p>
      <w:r>
        <w:t>FR: CH_VB .322 du 17 décembre 1982</w:t>
      </w:r>
    </w:p>
    <w:p>
      <w:r>
        <w:t>IT: CH_VB .322 del 17 dicembre 1982</w:t>
      </w:r>
    </w:p>
    <w:p>
      <w:pPr>
        <w:pStyle w:val="Heading2"/>
      </w:pPr>
      <w:r>
        <w:t>Erwägungen</w:t>
      </w:r>
    </w:p>
    <w:p>
      <w:r>
        <w:rPr>
          <w:b/>
        </w:rPr>
        <w:t>E. 17</w:t>
      </w:r>
    </w:p>
    <w:p>
      <w:r>
        <w:t>Dezember 1982 1779 Motion Houmard 3. Coordination. La coordination pourrait parfaitement être assurée par une instance issue des milieux scientifiques et administratifs, instance pouvant s'appeler par exemple: «Conseil consultatif de l'hygiène». Pour nous4, le rattachement des offices fédéraux concernés à tel ou tel département est secondaire, puisque ce conseil deviendrait l'organe de coordination. N'oublions pas d'ail- leurs que les cantons sont chargés de l'application des lois et règlements fédéraux concernant le contrôle des denrées alimentaires; chacun ayant son propre système d'organisa- tion de structure fédéraliste. Les trois propositions citées dans le rapport de la Commis- sion de gestion (p. 7) n'apportent aucune amélioration sen- sible à la situation actuelle, ce que reconnaissent explicite- ment les auteurs. Une nouvelle loi C'est pourquoi même un changement de département ne modifierait quoi que ce soit à cette situation. Au contraire, de nouveaux problèmes seraient créés tant sur le plan sanitaire que commercial, au grand dam des consommateurs et de la population en général. En conclusion, donnons aux deux offices concernés (santé publique et vétérinaire fédéral) des mandats précis en demandant au Conseil fédéral d'élaborer une nouvelle loi sur le contrôle des aliments d'origine animale, ceux-ci ne .pouvant pas être traités, analysés sur le même pied que des aliments d'autres provenances: nouvelle loi qui secon- derait avantageusement celle sur le contrôle des denrées alimentaires. Schriftliche Stellungnahme des Bundesrates Rapport écrit du Conseil fédéral Le Conseil fédéral est prêt à examiner la possibilité de faire contrôler par le vétérinaire les produits d'origine animale, de la production à la consommation. Quant à savoir si ce contrôle doit être réglé par une loi spé- ciale ou par la nouvelle loi sur les denrées alimentaires, il s'agit d'une question touchant la technique législative. Tou- tefois, lors de l'élaboration du projet de nouvelle loi sur les denrées alimentaires, il a été admis qu'il ne serait pas opportun d'établir deux lois sur le contrôle des denrées ali- mentaires, étant donné que la viande et les produits d'ori- gine animale sont eux aussi des denrées alimentaires. Le déroulement du coTitrôle d'hygiène vétérinaire est une question qui touche au premier chef au domaine de l'exécu- tion. Or, comme on le sait, celle-ci est de la compétence des cantons. Le Conseil fédéral ne connaît pas encore leur avis ni celui des milieux intéressés sur ce point. Il ne pourra pas se prononcer à ce sujet avant que soit achevée la pro- cédure de consultation. Schriftliche Erklärung des Bundesrates Déclaration écrite du Conseil fédéral Le Conseil fédéral propose d'accepter la motion sous forme de postulat. Überwiesen als Postulat - Transmis comme postulat #ST# 82.456 Motion Houmard Holzschutzmittel. Wirksamkeitsprüfung Produits de conservation du bois. Tests Wortlaut der Motion vom 24. Juni 1982 Für Holzschutzmittel gibt es keine obligatorische Qualitäts- prüfung. Die erhältlichen Produkte haben oft nicht die gewünschte Wirkung oder sind sogar ungeeignet. Die Holzindustrie will das Holz - ein Stoff, der stets erneuer- bar ist - noch stärker aufwerten. Es wäre wichtig, diese Bestrebungen durch die Einführung eines Qualitätssiegels für Holzschutzmittel zu unterstützen. Mit den erforderlichen Prüfungen könnte eine bereits beste- hende Einrichtung betraut werden. Der Bundesrat wird daher eingeladen, für die Holzschutz- mittel eine Qualitätsprüfung vorzuschreiben und die unge- eigneten Produkte zu verbieten. Texte de la motion du 24 juin 1982 Les produits de conservation du bois ne sont pas soumis à un test obligatoire. Les produits que l'on trouve dans le commerce n'ont pas toujours l'efficacité désirée; certains sont même inappropriés. L'industrie du bois a décidé d'intensifier la valorisation du bois, matériaux toujours renouvelable. Il serait important de soutenir cet effort par des mesures visant à donner un label de qualité aux produits de conservation du bois. Les tests nécessaires pourraient être confiés à un organisme exis- tant. En conséquence, le Conseil fédéral est invité à rendre obli- gatoires les tests sur les produits de conservation du bois et à interdire l'utilisation de produits inappropriés. Mitunterzeichner - Cosignataires: Ammann-Bern, Aubry, Bacciarini, Bonnard, Bundi, de Capitani, de Chastonay, Couchepin, Darbellay, Eppenberger-Nesslau, Früh, Gautier, Geissbühler, Hari, Hunziker, Jaggi, Jost, Kaufmann, Kohler Raoul, Loetscher, Loretan, Martin, Mauch, Messmer, Morf, Pedrazzini, Petitpierre, Räz, Ribi, Schule, Spreng, Steineg- ger, Thévoz, Vannay, Villiger, Weber-Arbon, Wellauer, Zwy- gart (38) Schriftliche Begründung - Développement par écrit L'utilisation du bois dans la construction a connu, ces der- nières années, un essor réjouissant, ce qui s'est traduit par un bon degré d'activité, notamment dans des régions éco- nomiquement peu développées. Par un travail de haute qualité, la branche du bois s'efforce, malgré un marché de la construction qui est stagnant, de consolider cette situa- tion favorable. Bien que cette branche cherche à assurer la durabilité des éléments en bois en prenant des mesures appropriées sur le plan de la construction notamment, le traitement chimi- que préventif du bois est indispensable dans différents domaines d'utilisation de ce matériau (p. ex. pour les faça- des, les constructions exposées aux intempéries, les struc- tures portantes). Un traitement curatif peut devenir néces- saire si le bois est attaqué par des champignons ou des insectes. Etant donné qu'on recourt davantage au bois, la question de l'utilisation des produits de préservation du bois a été assez fréquemment discutée ces derniers temps, notam- ment la question du danger que représentent pour l'homme certaines substances actives. Nous sommes de l'avis - que les questions relatives à la mise en danger de l'envi- ronnement (toxicité) devraient être réglées par les lois et ordonnances sur la protection de l'environnement et sur les toxiques, par l'OFPE d'une part et l'OFSP d'autre part, qui sont les services officiels chargés de l'exécution de cette législation; - que la branche du bois devrait contribuer, par des cours de formation et une meilleure information, à réduire les ris- ques inhérents à l'utilisation de produits de préservation du bois (il existe diverses publications à ce sujet et des cours appropriés sont organisés); - que seuls devraient être admis les produits de préserva- tion du bois qui sont suffisamment efficaces, et cela dans l'intérêt du maître de l'œuvre (protection des consomma- teurs), de l'utilisateur (prptection de la santé) et de l'envi- ronnement. Il y a une trentaine d'années, un label de qualité purement facultatif a été créé à l'initiative de la branche du bois. De</w:t>
      </w:r>
    </w:p>
    <w:p>
      <w:r>
        <w:t>Schweizerisches Bundesarchiv, Digitale Amtsdruckschriften Archives fédérales suisses, Publications officielles numérisées Archivio federale svizzero, Pubblicazioni ufficiali digitali Motion Tochon Hygiene der Tierprodukte. Neues Gesetz Motion Tochon Hygiène des aliments d'origine animale. Nouvelle loi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82.322 Numéro d'objet Numero dell'oggetto Datum 17.12.1982 - 08:00 Date Data Seite 1778-1779 Page Pagina Ref. No</w:t>
      </w:r>
    </w:p>
    <w:p>
      <w:r>
        <w:rPr>
          <w:b/>
        </w:rPr>
        <w:t>E. 20</w:t>
      </w:r>
    </w:p>
    <w:p>
      <w:r>
        <w:t>011 033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