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.013 vom 23. September 1982</w:t>
      </w:r>
    </w:p>
    <w:p>
      <w:r>
        <w:t>Bundesverwaltung, 1982-09-23, DE</w:t>
      </w:r>
    </w:p>
    <w:p>
      <w:r>
        <w:rPr>
          <w:b/>
        </w:rPr>
        <w:t xml:space="preserve">Quelle: </w:t>
      </w:r>
      <w:r>
        <w:t>https://mcp.opencaselaw.ch/entscheid/ch_vb_.013</w:t>
      </w:r>
    </w:p>
    <w:p>
      <w:r>
        <w:t>FR: CH_VB .013 du 23 septembre 1982</w:t>
      </w:r>
    </w:p>
    <w:p>
      <w:r>
        <w:t>IT: CH_VB .013 del 23 settembre 1982</w:t>
      </w:r>
    </w:p>
    <w:p>
      <w:pPr>
        <w:pStyle w:val="Heading2"/>
      </w:pPr>
      <w:r>
        <w:t>Erwägungen</w:t>
      </w:r>
    </w:p>
    <w:p>
      <w:r>
        <w:rPr>
          <w:b/>
        </w:rPr>
        <w:t>E. 23</w:t>
      </w:r>
    </w:p>
    <w:p>
      <w:r>
        <w:t>septembre 1982 Detailberatung - Discussion par articles Titel und Ingress, Ziff. l und II Titre et préambule, ch. I et II Angenommen - Adopté Gesamtabstimmung - Vote sur l'ensemble Für Annahme des Beschlussentwurfes 82 Stimmen (Einstimmigkeit) An den Ständerat - Au Conseil des Etats #ST# 81.059 Wirtschaftliche Landesversorgung. Bundesgesetz Approvisionnement économique du pays. Loi Siehe Seite 147 hiervor - Voir page 147 ci-devant Beschluss des Ständerates vom 24. Juni 1982 Décision du Conseil des Etats du 24 juin 1982 Differenzen - Divergences Blocher, Berichterstatter: Bei diesem Gesetz bestehen drei Differenzen zum Ständerat. Die erste betrifft die Artikel 19 und 23 als eine Differenz. Hier geht es um die Anliegen der Forstwirtschaft. In seinem ursprünglichen Entwurf hat der Bundesrat einen Artikel vorgeschlagen, in dem die Forst- wirtschaft gesondert erwähnt ist. Der Nationalrat hat diesen Artikel 19 gestrichen und als Ersatz die Forstwirtschaft in Artikel 23 unter dem Kapitel «Massnahmen bei zunehmen- der Bedrohung» untergebracht. Als Gründe dafür waren ausschlaggebend: 1. Gesetzessystematisch ist es besser, wenn die Forstwirt- schaft dort untergebracht wird. 2. Einige befürchteten, Artikel 19 sei ein allgemeiner Sub- ventionsartikel, der nicht in dieses Gesetz, sondern in das Forstgesetz gehöre. 3. Die in Artikel 19 aufgezeichneten Mittel, mit welchen Mehrnutzung erreicht werden könnte, seien zu beschränkt; die in Artikel 23 aufgeführten Mittel gehen wesentlich wei- ter. All das hat uns veranlasst, Artikel 19 zu streichen und die Forstwirtschaft in Artikel 23 unterzubringen. Der Ständerat hat hier eine Korrektur vorgenommen und beschlossen, bei der ursprünglichen Fassung zu bleiben. Ihre Kommission schlägt vor, am Beschluss des Nationalrates festzuhalten. Dieser Auffassung schliesst sich auch der Bundesrat an, wie uns Herr Bundespräsident Honegger mitteilen liess. Eine wesentliche Differenz besteht nicht. Die ursprüngliche Fassung könnte wohl bestehen bleiben, aber dann müsste man hier ausdrücklich sagen, dass es sich bei Artikel 19 ebenfalls nur um eine Vorschrift handle, die für die Mehrnut- zung, nicht für die normale Nutzung gilt. Damit das nicht noch speziell festgehalten werden muss, entschieden wir uns für die saubere Lösung, also Festhalten an der Unter- bringung in Artikel 23. M. Darbellay, rapporteur: La loi sur l'approvisionnement économique du pays nous revient du Conseil des Etats avec trois divergences. La première, que nous traitons maintenant, concerne l'économie forestière. Le projet du Conseil fédéral prévoyait un article 19 consacré spéciale- ment à ce problème. Nous l'avons supprimé et nous avons reporté ce souci à l'article 23. Il faut préciser que cette loi contient deux chapitres importants: le chapitre 2 concerne l'état de préparation permanent, et le chapitre 3 concerne les mesures en cas d'aggravation de la menace. L'article 19 appartient au chapitre 2, l'article 23 au chapitre 3. L'alinéa mis en question est l'alinéa 3 de l'article 19, qui dit: «Dans la mesure où l'extension de l'exploitation forestière le rend indispensable, l'équipement des entreprises en machines et installations peut être encouragé au moyen d'aides finan- cières.» La commission du Conseil national a craint que cet alinéa ne soit l'occasion d'un subventionnement permanent aux entreprises pour les machines et les installations. Le Conseil fédéral a précisé sa position en disant: «II n'est pas dans notre idée de subventionner d'une manière générale ou permanente. Ceci interviendrait seulement pour des besoins extraordinaires en cas d'aggravation de la menace.» La réaction de la commission du Conseil national fut la suivante: «Passons cette idée au chapitre 3 et met- tons sur le même pied l'exploitation forestière et l'exploita- tion agricole, à l'article 23.» L'économie forestière réagit et le Conseil des Etats a réintroduit l'article 19. Les tenants de cette disposition à l'article 19 évoquent le fait qu'il faut un temps beaucoup plus long de préparation pour une éven- tuelle restructuration de l'économie forestière. C'est pour- quoi ils insistent pour maintenir cette disposition dans l'état de préparation permanent. La commission du Conseil national s'est prononcée à ce sujet: elle veut absolument éviter une mesure générale de subventionnement; elle maintient son point de vue et pro- pose de garder la notion d'aide éventuelle à la sylviculture à l'article 23 du projet de loi. Art. 19 Antrag der Kommission Festhalten Antrag Houmard Nach Entwurf des Bundesrates Art. 19 Proposition de la commission Maintenir Proposition Houmard Selon projet du Conseil fédéral M. Houmard: Une fonction spécifique m'a permis de me pencher en détail sur les problèmes inhérents au ravitaille- ment en temps de crise. Nos conclusions sont formelles: il n'est pas nécessaire de constituer des stocks obligatoires de bois. Il est préférable et plus rationnel d'améliorer l'équi- pement machines et installations d'économie forestière en temps utile. La forêt peut contribuer partiellement à surmonter une crise énergétique, pour autant que les forêts des Préalpes soient accessibles. En revanche, il n'est pas possible d'effectuer des exploitations supplémentaires sur une grande échelle si l'on n'améliore pas la desserte des installations de l'éco- nomie forestière en temps utile. Il est, en d'autres termes, nécessaire que des forêts encore inaccessibles soient progressivement desservies afin d'évi- ter, en cas de crise, les coupes rases en forêts productives. Nous avons tous encore en mémoire l'effort que l'on a demandé à la sylviculture pendant la dernière guerre. Il faut absolument arriver à puiser le volume supplémentaire de bois dans les forêts aujourd'hui non exploitées. Cela per- mettra - et je le souligne - de mettre un potentiel énergéti- que important à disposition, sans détuire l'équilibre de la forêt de basse montagne et de plaine. Il est donc d'intérêt national, comme pour l'approvisionnement en eau, de pou- voir mettre en application un minimum de mesures en temps normal et non pas seulement en cas d'aggravation de la menace. La décision du Conseil des Etats de mainte- nir l'article 19, comme cela a d'ailleurs été proposé par le Conseil fédéral, est très sage. Je vous demande, d'autre part, de ne pas créer de divergence avec le Conseil des</w:t>
      </w:r>
    </w:p>
    <w:p>
      <w:r>
        <w:t>Schweizerisches Bundesarchiv, Digitale Amtsdruckschriften Archives fédérales suisses, Publications officielles numérisées Archivio federale svizzero, Pubblicazioni ufficiali digitali Schweizerische Verkehrszentrale. Beitrag Office national suisse du tourisme. Contribution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82.013 Numéro d'objet Numero dell'oggetto Datum 23.09.1982 - 08:00 Date Data Seite 1117-1120 Page Pagina Ref. No 20 010 748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