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CH_BUNDESRAT /bj/de/home/publiservice/publikationen/beschwerdeentscheide/2012-10-17.html vom 17. Oktober 2012</w:t>
      </w:r>
    </w:p>
    <w:p>
      <w:r>
        <w:t>Bundesrat, 2012-10-17, FR</w:t>
      </w:r>
    </w:p>
    <w:p>
      <w:r>
        <w:rPr>
          <w:b/>
        </w:rPr>
        <w:t xml:space="preserve">Quelle: </w:t>
      </w:r>
      <w:r>
        <w:t>https://mcp.opencaselaw.ch/entscheid/ch_bundesrat__bj_de_home_publiservice_publikationen_beschwerdeentscheide_2012-10-17.html</w:t>
      </w:r>
    </w:p>
    <w:p>
      <w:r>
        <w:t>FR: CH_BUNDESRAT /bj/de/home/publiservice/publikationen/beschwerdeentscheide/2012-10-17.html du 17 octobre 2012</w:t>
      </w:r>
    </w:p>
    <w:p>
      <w:r>
        <w:t>IT: CH_BUNDESRAT /bj/de/home/publiservice/publikationen/beschwerdeentscheide/2012-10-17.html del 17 ottobre 2012</w:t>
      </w:r>
    </w:p>
    <w:p>
      <w:pPr>
        <w:pStyle w:val="Heading2"/>
      </w:pPr>
      <w:r>
        <w:t>Regeste</w:t>
      </w:r>
    </w:p>
    <w:p>
      <w:r>
        <w:t>Recours de NML Capital Ltd. et EM Limited contre Département fédéral des affaires étrangères (DFAE). Décision</w:t>
      </w:r>
    </w:p>
    <w:p>
      <w:pPr>
        <w:pStyle w:val="Heading2"/>
      </w:pPr>
      <w:r>
        <w:t>Erwägungen</w:t>
      </w:r>
    </w:p>
    <w:p>
      <w:r>
        <w:rPr>
          <w:b/>
        </w:rPr>
        <w:t>E. 00</w:t>
      </w:r>
    </w:p>
    <w:p>
      <w:r>
        <w:t>DtR SC hI\\'CIZtRISCHË Bt\OtSRAT Lt (O\S[IL FËDËR XL St.ISSt IL CO\SIGLll) FEoeRÄLC S\ IZZCRa</w:t>
      </w:r>
    </w:p>
    <w:p>
      <w:r>
        <w:rPr>
          <w:b/>
        </w:rPr>
        <w:t>E. 11</w:t>
      </w:r>
    </w:p>
    <w:p>
      <w:r>
        <w:t>CL$SËGL FFI)fkxl S\ IZZIK vu 1e recours de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