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CH_BUNDESRAT 2025-02-12 vom 12. Februar 2025</w:t>
      </w:r>
    </w:p>
    <w:p>
      <w:r>
        <w:t>Bundesrat, 2025-02-12, DE</w:t>
      </w:r>
    </w:p>
    <w:p>
      <w:r>
        <w:rPr>
          <w:b/>
        </w:rPr>
        <w:t xml:space="preserve">Quelle: </w:t>
      </w:r>
      <w:r>
        <w:t>https://mcp.opencaselaw.ch/entscheid/ch_bundesrat_2025-02-12</w:t>
      </w:r>
    </w:p>
    <w:p>
      <w:r>
        <w:t>FR: CH_BUNDESRAT 2025-02-12 du 12 février 2025</w:t>
      </w:r>
    </w:p>
    <w:p>
      <w:r>
        <w:t>IT: CH_BUNDESRAT 2025-02-12 del 12 febbraio 2025</w:t>
      </w:r>
    </w:p>
    <w:p>
      <w:pPr>
        <w:pStyle w:val="Heading2"/>
      </w:pPr>
      <w:r>
        <w:t>Erwägungen</w:t>
      </w:r>
    </w:p>
    <w:p>
      <w:r>
        <w:rPr>
          <w:b/>
        </w:rPr>
        <w:t>E. 31</w:t>
      </w:r>
    </w:p>
    <w:p>
      <w:r>
        <w:t>Der Grundsatz von Treu und Glauben verleiht Rechtssuchenden unter gewissen Umständen Anspruch auf Schutz ihres Vertrauens auf die Richtigkeit</w:t>
      </w:r>
    </w:p>
    <w:p>
      <w:r>
        <w:t>16/19 behördlichen Handelns. Dieser Anspruch hindert die Behörden, von ihrem frühe- ren Handeln abzuweichen, auch wenn sie dieses zu einem späteren Zeitpunkt als unrichtig erkennen. Potenzielle Vertrauensgrundlage sind dabei alleine jene behördlichen Handlungen, die sich auf eine konkrete, den Rechtsuchenden be- rührende Angelegenheit beziehen und von einer Behörde ausgehen, die für die betreffende Handlung zuständig ist oder die der Rechtsuchende aus zureichen- den Gründen für zuständig hält. Individuelle Auskünfte und Zusicherungen sind demnach typische Beispiele für Verwaltungsakte, die beim Bürger Vertrauen we- cken können. Das Vertrauen ist allerdings nur schutzwürdig, wenn der Rechtsu- chende die Unrichtigkeit der Auskunft nicht ohne Weiteres erkennen konnte und er im Vertrauen auf die Auskunft Dispositionen getroffen hat, die er nicht ohne Nachteil rückgängig machen kann. Der Anspruch auf Vertrauensschutz entfällt, wenn die gesetzliche Ordnung zwischen dem Zeitpunkt der Auskunft und der Verwirklichung des Sachverhalts geändert hat (BGE 148 II 233 E. 5.5.1). Daneben liegt ein Verstoss gegen Treu und Glauben zudem bei widersprüchli- chem oder missbräuchlichem behördlichem Handeln vor (GIOVANNI BIAGGINI, Kommentar BV, 2. Aufl., Zürich 2017, Art. 9 N. 13 mit Hinweisen; vgl. MATTHIAS KRADOLFER, St. Galler Kommentar BV, 4. Aufl., Zürich/St. Gallen 2023, Art. 9 N. 120 ff.).</w:t>
      </w:r>
    </w:p>
    <w:p>
      <w:r>
        <w:rPr>
          <w:b/>
        </w:rPr>
        <w:t>E. 32</w:t>
      </w:r>
    </w:p>
    <w:p>
      <w:r>
        <w:t>Die Beschwerdeführerin bringt vor, sie habe davon ausgehen dürfen, dass die Stellenausschreibung alle Selektionskriterien enthalte. Wenn das EDA bereits im Zeitpunkt der Ausschreibung gewusst hätte, dass die in der Ausschrei- bung aufgelisteten Kriterien nicht abschliessend seien und dass auch die allfäl- lige Zugehörigkeit zu einer nationalen Minderheit berücksichtigt werde, hätte dies folglich bereits in der Stellenausschreibung vermerkt werden müssen. Andern- falls liege eine Verletzung des Grundsatzes von Treu und Glauben vor.</w:t>
      </w:r>
    </w:p>
    <w:p>
      <w:r>
        <w:rPr>
          <w:b/>
        </w:rPr>
        <w:t>E. 33</w:t>
      </w:r>
    </w:p>
    <w:p>
      <w:r>
        <w:t>Die Beschwerdeführerin behauptet nicht, im Hinblick auf die Stellenaus- schreibung Dispositionen getätigt zu haben, welche sie nun nicht ohne Nachteil rückgängig machen kann. Dies ist auch nicht ersichtlich. Damit liegt keine Verlet- zung des Anspruchs auf Vertrauensschutz vor.</w:t>
      </w:r>
    </w:p>
    <w:p>
      <w:r>
        <w:rPr>
          <w:b/>
        </w:rPr>
        <w:t>E. 34</w:t>
      </w:r>
    </w:p>
    <w:p>
      <w:r>
        <w:t>Wie das EDA zu Recht ausführt, wurde bereits in der Ausschreibung ver- langt, dass die Bewerbenden über «sehr gute Kenntnisse […] der Situation der verschiedenen Minderheiten in der Schweiz» verfügen. Damit mussten die Be- werbenden von Anfang an damit rechnen, dass persönliche Erfahrungen als Min- derheit in der Schweiz sich im Bewerbungsprozess positiv auswirken könnten. Wie bereits dargelegt ist es zudem notorisch, dass bei einer Stellenbesetzung auch Umstände berücksichtigt werden können, die sich nicht explizit aus der Stel- lenausschreibung ergeben. Insbesondere für Stellen in internationalen Organisa- tionen, deren Besetzung als aussenpolitische Handlung der Schweiz zu verste- hen ist, haben Stellenbewerbende damit zu rechnen, dass die Selektionsbehörde neben den in der Ausschreibung genannten Gründen auch politische Umstände mitberücksichtigen kann. Aus den Akten ergibt sich weiter, dass die die Wahl vorbereitende Direktion für Völkerrecht alle vier Kandidaturen, darunter auch die</w:t>
      </w:r>
    </w:p>
    <w:p>
      <w:r>
        <w:t>17/19 der Beschwerdeführerin, als geeignet einschätzte. In der Folge entschied der Vorsteher des EDA im Rahmen seines politischen Ermessens, dem Europarat nur zwei Bewerbungen vorzulegen. Für die Auswahl dieser zwei Bewerbungen stützte sich der Vorsteher des EDA auf zusätzliche, nicht explizit in der Ausschrei- bung erwähnte Kriterien ab. Dies ist nachvollziehbar. Insgesamt stellt das Ver- halten des EDA damit kein Artikel 9 BV verletzendes widersprüchliches Verhalten dar.</w:t>
      </w:r>
    </w:p>
    <w:p>
      <w:r>
        <w:t>Verletzung des Willkürverbots (Art. 9 BV)</w:t>
      </w:r>
    </w:p>
    <w:p>
      <w:r>
        <w:rPr>
          <w:b/>
        </w:rPr>
        <w:t>E. 35</w:t>
      </w:r>
    </w:p>
    <w:p>
      <w:r>
        <w:t>In ihrer Beschwerde an den Bundesrat macht die Beschwerdeführerin im Gegensatz zum vorinstanzlichen Verfahren keine Verletzung des Willkürverbots nach Artikel 9 BV mehr geltend. Eine solche ist auch nicht ersichtlich. Der Vor- steher des EDA stellte für die Ausarbeitung des Wahlvorschlags für die Position als Expertin im beratenden Ausschuss des RÜ insbesondere auf die tatsächliche Erfahrung als Minderheit der Kandidierenden ab. Als Folge dieses Entscheids schlug er dem Europarat C sowie einen weiteren Kandidaten zur Wahl vor. Die beiden berücksichtigten Kandidaten erfüllten nach Ansicht der Direktion für Völ- kerrecht die entsprechenden Voraussetzungen. Hingegen wurde die Beschwer- deführerin mangels tatsächlicher Erfahrung als Minderheit nicht berücksichtigt. Diese Entscheide lassen sich nach dem Gesagten auf ernsthafte sachliche Gründe stützen und laufen dem Gerechtigkeitsgedanken nicht in stossender Weise zuwider (vgl. BGE 148 I 271 E. 2.1).</w:t>
      </w:r>
    </w:p>
    <w:p>
      <w:r>
        <w:t>Fazit</w:t>
      </w:r>
    </w:p>
    <w:p>
      <w:r>
        <w:rPr>
          <w:b/>
        </w:rPr>
        <w:t>E. 36</w:t>
      </w:r>
    </w:p>
    <w:p>
      <w:r>
        <w:t>Nach dem Gesagten ist die Beschwerde abzuweisen, soweit darauf ein- zutreten ist.</w:t>
      </w:r>
    </w:p>
    <w:p>
      <w:r>
        <w:t>Regelung der Nebenfolgen</w:t>
      </w:r>
    </w:p>
    <w:p>
      <w:r>
        <w:rPr>
          <w:b/>
        </w:rPr>
        <w:t>E. 37</w:t>
      </w:r>
    </w:p>
    <w:p>
      <w:r>
        <w:t>Die Beschwerdeinstanz auferlegt die Verfahrenskosten, bestehend aus Spruchgebühr, Schreibgebühr und Barauslagen, in der Regel der unterliegenden Partei. Unterliegt diese nur teilweise, so werden die Verfahrenskosten ermässigt (Art. 63 Abs. 1 VwVG). Die Spruchgebühr richtet sich nach Umfang und Schwie- rigkeit der Streitsache, Art der Prozessführung und finanzieller Lage der Parteien (Art. 63 Abs. 4bis VwVG). Sie beträgt in Streitigkeiten ohne Vermögensinteresse 100–5000 Franken (Art. 63 Abs. 4bis Bst. a VwVG). Wenn die Auferlegung von Verfahrenskosten als unverhältnismässig erscheint, können die Verfahrenskos- ten ausnahmsweise ganz oder teilweise erlassen werden (Art. 63 Abs. 1 Satz 2 VwVG in Verbindung mit Art. 4a Bst. b der Verordnung vom 10. September 1969 über Kosten und Entschädigungen im Verwaltungsverfahren [SR 172.041.0]).</w:t>
      </w:r>
    </w:p>
    <w:p>
      <w:r>
        <w:t>18/19 Die Beschwerdeinstanz erhebt einen Kostenvorschuss in der Höhe der mutmass- lichen Verfahrenskosten. Wenn besondere Gründe vorliegen, kann sie darauf verzichten (Art. 63 Abs. 4 VwVG). Das EJPD als instruierende Behörde verzichtete zu Recht auf die Erhebung ei- nes Kostenvorschusses (vgl. EJPD, Zwischenverfügung vom 13. Dezember 2023, Ziff. 5). Angesichts der Gesamtumstände des vorliegenden Beschwerde- verfahrens, insbesondere der langen Verfahrensdauer sowie der teilweisen Gut- heissung des Akteneinsichtsgesuchs, ist es zudem angezeigt, der unterliegen- den Beschwerdeführerin die Verfahrenskosten teilweise zu erlassen. Die Verfah- renskosten werden dementsprechend auf 1000 Franken festgesetzt und sind der Beschwerdeführerin aufzuerlegen.</w:t>
      </w:r>
    </w:p>
    <w:p>
      <w:r>
        <w:rPr>
          <w:b/>
        </w:rPr>
        <w:t>E. 38</w:t>
      </w:r>
    </w:p>
    <w:p>
      <w:r>
        <w:t>Die Beschwerdeinstanz kann der ganz oder teilweise obsiegenden Partei von Amtes wegen oder auf Begehren eine Entschädigung für ihr erwachsene notwendige und verhältnismässige hohe Kosten zusprechen (Art. 64 Abs. 1 VwVG). Für die Frage des Obsiegens sind der Endentscheid sowie die vorange- gangenen Zwischenentscheide dabei praxisgemäss gesondert zu betrachten (vgl. etwa BVGer, Urteil B-7307/2014 vom 29. Januar 2015). Die Partei, die An- spruch auf Parteientschädigung erhebt, hat der Beschwerdeinstanz vor dem Be- schwerdeentscheid eine detaillierte Kostennote einzureichen; reicht sie die Kos- tennote nicht rechtzeitig ein, so setzt die Beschwerdeinstanz die Parteientschä- digung von Amtes wegen und nach Ermessen fest. Obsiegt die Partei nur teil- weise, so ist die Parteientschädigung verhältnismässig zu kürzen (Art. 8 Abs. 1 und Abs. 5 der Verordnung über Kosten und Entschädigungen im Verwaltungs- verfahren).</w:t>
      </w:r>
    </w:p>
    <w:p>
      <w:r>
        <w:rPr>
          <w:b/>
        </w:rPr>
        <w:t>E. 39</w:t>
      </w:r>
    </w:p>
    <w:p>
      <w:r>
        <w:t>Im vorliegenden Verfahren unterliegt die Beschwerdeführerin in der Hauptsache. Sie obsiegt lediglich insoweit, als ihr Akteneinsichtsgesuch mit Zwi- schenverfügung des EJPD vom 9. Juli 2024 teilweise gutgeheissen wurde (vgl. Bst. T). Angesichts dieses Verfahrensausgangs hat sie Anspruch auf eine stark reduzierte Parteientschädigung. Der Rechtsvertreter der Beschwerdeführerin machte in der Stellungnahme zur Duplik insgesamt einen Aufwand von achtzehn Stunden zu einem Ansatz von 300 Franken pro Stunde geltend. Da der Aufwand des Rechtsvertreters der Beschwerdeführerin im Zusammenhang mit dem Ak- teneinsichtsgesuch im Vergleich zum Rest des Verfahrens gering war, ist es an- gemessen, der Beschwerdeführerin zulasten des EDA eine Parteientschädigung von 600 Franken zuzusprechen.</w:t>
      </w:r>
    </w:p>
    <w:p>
      <w:r>
        <w:t>19/19</w:t>
      </w:r>
    </w:p>
    <w:p>
      <w:r>
        <w:t>und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