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CH_BUNDESRAT 2024-07-09 vom 9. Juli 2024</w:t>
      </w:r>
    </w:p>
    <w:p>
      <w:r>
        <w:t>Bundesrat, 2024-07-09, DE</w:t>
      </w:r>
    </w:p>
    <w:p>
      <w:r>
        <w:rPr>
          <w:b/>
        </w:rPr>
        <w:t xml:space="preserve">Quelle: </w:t>
      </w:r>
      <w:r>
        <w:t>https://mcp.opencaselaw.ch/entscheid/ch_bundesrat_2024-07-09</w:t>
      </w:r>
    </w:p>
    <w:p>
      <w:r>
        <w:t>FR: CH_BUNDESRAT 2024-07-09 du 9 juillet 2024</w:t>
      </w:r>
    </w:p>
    <w:p>
      <w:r>
        <w:t>IT: CH_BUNDESRAT 2024-07-09 del 9 luglio 2024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Gegen die Einsicht der Beschwerdeführerin in die anderen Akten betreffend den Wahl- vorschlag vom 22. Januar 2018 spricht sich das EDA nicht aus. Es sind denn auch keine Gründe ersichtlich, welche die Geheimhaltung dieser restlichen Akten rechtferti- gen würden.</w:t>
      </w:r>
    </w:p>
    <w:p>
      <w:r>
        <w:rPr>
          <w:b/>
        </w:rPr>
        <w:t>E. 19</w:t>
      </w:r>
    </w:p>
    <w:p>
      <w:r>
        <w:t>Damit ist der Beschwerdeführerin grundsätzlich Einsicht in sämtliche Akten des EDA betreffend den Wahlvorschlag vom 22. Januar 2018 einschliesslich die «Notiz DV» zu</w:t>
      </w:r>
    </w:p>
    <w:p>
      <w:r>
        <w:t>Aktenzeichen: 361-3764/3/14 9/9 gewähren. Die Einsicht in die Beschreibungen der weiteren drei Kandidaten in der «No- tiz DV» bleibt ihr jedoch verwehrt. Die «Notiz DV» wird dem Rechtsvertreter in anonymi- sierter Form zusammen mit der vorliegenden Zwischenverfügung zugestellt. Nebenfolgen und Rechtsmittel</w:t>
      </w:r>
    </w:p>
    <w:p>
      <w:r>
        <w:rPr>
          <w:b/>
        </w:rPr>
        <w:t>E. 20</w:t>
      </w:r>
    </w:p>
    <w:p>
      <w:r>
        <w:t>Über die Kosten der vorliegenden Zwischenverfügung wird im Endentscheid entschie- den.</w:t>
      </w:r>
    </w:p>
    <w:p>
      <w:r>
        <w:rPr>
          <w:b/>
        </w:rPr>
        <w:t>E. 21</w:t>
      </w:r>
    </w:p>
    <w:p>
      <w:r>
        <w:t>Diese Zwischenverfügung kann nicht mit Beschwerde angefochten werden (Entscheid des Bundesrats vom 28. Januar 1976, in: VPB 1976 Nr. 30, E. II.2). III. Entscheid Gestützt darauf wird verfügt: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