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CH_BUNDESRAT 2012-10-17-dfae vom 17. Oktober 2012</w:t>
      </w:r>
    </w:p>
    <w:p>
      <w:r>
        <w:t>Bundesrat, 2012-10-17, FR</w:t>
      </w:r>
    </w:p>
    <w:p>
      <w:r>
        <w:rPr>
          <w:b/>
        </w:rPr>
        <w:t xml:space="preserve">Quelle: </w:t>
      </w:r>
      <w:r>
        <w:t>https://mcp.opencaselaw.ch/entscheid/ch_bundesrat_2012-10-17-dfae</w:t>
      </w:r>
    </w:p>
    <w:p>
      <w:r>
        <w:t>FR: CH_BUNDESRAT 2012-10-17-dfae du 17 octobre 2012</w:t>
      </w:r>
    </w:p>
    <w:p>
      <w:r>
        <w:t>IT: CH_BUNDESRAT 2012-10-17-dfae del 17 ottobre 2012</w:t>
      </w:r>
    </w:p>
    <w:p>
      <w:pPr>
        <w:pStyle w:val="Heading2"/>
      </w:pPr>
      <w:r>
        <w:t>Erwägungen</w:t>
      </w:r>
    </w:p>
    <w:p>
      <w:r>
        <w:rPr>
          <w:b/>
        </w:rPr>
        <w:t>E. 00</w:t>
      </w:r>
    </w:p>
    <w:p>
      <w:r>
        <w:t>DtR SC hI\\'CIZtRISCHË Bt\OtSRAT Lt (O\S[IL FËDËR XL St.ISSt IL CO\SIGLll) FEoeRÄLC S\ IZZCRa</w:t>
      </w:r>
    </w:p>
    <w:p>
      <w:r>
        <w:rPr>
          <w:b/>
        </w:rPr>
        <w:t>E. 11</w:t>
      </w:r>
    </w:p>
    <w:p>
      <w:r>
        <w:t>CL$SËGL FFI)fkxl S\ IZZIK vu 1e recours de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