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F-995/2017 vom 26. Februar 2019</w:t>
      </w:r>
    </w:p>
    <w:p>
      <w:r>
        <w:t>Bundesverwaltungsgericht, 2019-02-26, FR</w:t>
      </w:r>
    </w:p>
    <w:p>
      <w:r>
        <w:rPr>
          <w:b/>
        </w:rPr>
        <w:t xml:space="preserve">Quelle: </w:t>
      </w:r>
      <w:r>
        <w:t>https://mcp.opencaselaw.ch/entscheid/bvger_F-995_2017</w:t>
      </w:r>
    </w:p>
    <w:p>
      <w:r>
        <w:t>FR: TAF F-995/2017 du 26 février 2019</w:t>
      </w:r>
    </w:p>
    <w:p>
      <w:r>
        <w:t>IT: TAF F-995/2017 del 26 febbraio 2019</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 ; cf., notamment, arrêt du Tribunal fédéral (ci-après : TF) 1C_82/2018 du 31 mai 2018 consid. 1).</w:t>
      </w:r>
    </w:p>
    <w:p>
      <w:r>
        <w:rPr>
          <w:b/>
        </w:rPr>
        <w:t>E. 1.2</w:t>
      </w:r>
    </w:p>
    <w:p>
      <w:r>
        <w:t>A moins que la LTAF n'en dispose autrement, la procédure devant le Tribunal est régie par la PA (cf. art. 37 LTAF et art. 51 al. 1 aLN).</w:t>
      </w:r>
    </w:p>
    <w:p>
      <w:r>
        <w:rPr>
          <w:b/>
        </w:rPr>
        <w:t>E. 1.3</w:t>
      </w:r>
    </w:p>
    <w:p>
      <w:r>
        <w:t>La recourante 1 et le recourant 2, au nom duquel sa mère avait interjeté recours alors qu'il était encore mineur (celui-ci étant devenu majeur au cours de la présente procédure de recours) et conservant un intérêt digne de protection à l'issue de ladite procédure, ont qualité pour recourir (art. 48 al. 1 PA). Leur recours, présenté dans la forme et les délais prescrits par la loi, est recevable (cf. art. 50 et 52 PA). S'agissant des pouvoirs de représentation de Maître Jean Orso vis-à-vis du recourant 2, il y a lieu de présumer, en l'absence de toute clarification inverse dudit mandataire, qu'ils continuent à déployer leurs effets malgré l'atteinte de la majorité de ce dernier qui a eu lieu au cours de la procédure de recours (c'est-à-dire, plus précisément, le 12 juillet 2018), à un stade ultérieur à la production de la réplique clôturant l'échange d'écritures.</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w:t>
      </w:r>
    </w:p>
    <w:p>
      <w:r>
        <w:t>Il convient de noter que l'entrée en vigueur, au 1er janvier 2018, de la nouvelle loi sur la nationalité suisse du 20 juin 2014 (LN ; RS 141.0) a entraîné l'abrogation de la loi fédérale du 29 septembre 1952 sur l'acquisition et la perte de la nationalité suisse (aLN), conformément à l'art. 49 LN (en relation avec le chiffre I de son annexe). En vertu de la réglementation transitoire prévue par l'art. 50 LN, l'acquisition et la perte de la nationalité suisse sont régies par le droit en vigueur au moment où le fait déterminant s'est produit. Dans le cas d'espèce, tous les faits s'étant déroulés sous l'empire de l'ancien droit, c'est l'aLN qui s'applique (cf. arrêt du TF 1C_82/2018 précité, consid. 2).</w:t>
      </w:r>
    </w:p>
    <w:p>
      <w:r>
        <w:rPr>
          <w:b/>
        </w:rPr>
        <w:t>E. 4</w:t>
      </w:r>
    </w:p>
    <w:p>
      <w:r>
        <w:t>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4.1</w:t>
      </w:r>
    </w:p>
    <w:p>
      <w:r>
        <w:t>La notion de communauté conjugale dont il est question dans la loi, en particulier aux art. 27 al. 1 let. c et 28 al. 1 let. a aLN,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(cf. ATF 135 II 161 consid. 2 ; arrêts du TF 1C_82/2018 précité, consid. 4.1, 1C_362/2017 du 12 octobre 2017 consid. 2.2.1 et 1C_336/2013 du 28 mai 2013 consid. 2.1, et les réf. cit.).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et les réf.cit. ; ATAF 2010/16 consid. 4.4, et les réf. cit. ; arrêts du TF 1C_588/2017 du 30 novembre 2017 consid. 5.1 et 1C_362/2017 précité ibid., et les réf. cit.).</w:t>
      </w:r>
    </w:p>
    <w:p>
      <w:r>
        <w:rPr>
          <w:b/>
        </w:rPr>
        <w:t>E. 4.2</w:t>
      </w:r>
    </w:p>
    <w:p>
      <w:r>
        <w:t>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les réf. cit.).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réf. cit.).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5</w:t>
      </w:r>
    </w:p>
    <w:p>
      <w:r>
        <w:t>Avec l'assentiment de l'autorité du canton d'origine, le SEM peut, dans le délai prévu par la loi (c'est-à-dire deux ans à compter du jour où cette autorité a pris connaissance des faits déterminants, mais au plus tard huit ans après l'octroi de la nationalité suisse), annuler la naturalisation ou la réintégration obtenue par des déclarations mensongères ou par la dissimulation de faits essentiels (cf. art. 41 al. 1 et 1bis aLN).</w:t>
      </w:r>
    </w:p>
    <w:p>
      <w:r>
        <w:rPr>
          <w:b/>
        </w:rPr>
        <w:t>E. 5.1</w:t>
      </w:r>
    </w:p>
    <w:p>
      <w:r>
        <w:t>L'annulation de la naturalisation présuppose ainsi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et 135 161 consid. 2, et les réf. cit.). Tel est notamment le cas si le requérant déclare vivre en communauté stable avec son conjoint, alors qu'il envisage de se séparer une fois obtenue la naturalisation facilitée ; peu importe que son mariage se soit ou non déroulé jusqu'ici de manière harmonieuse (cf. arrêts du TF 1C_362/2017 précité ibid. et 1C_796/2013 du 13 mars 2014 consid. 3.1.1, et les réf. cit.).</w:t>
      </w:r>
    </w:p>
    <w:p>
      <w:r>
        <w:rPr>
          <w:b/>
        </w:rPr>
        <w:t>E. 5.2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les réf. cit. ; arrêts du TF précités 1C_588/2017 consid. 5.1 et 1C_362/2017 consid. 2.2.1, et les réf. cit.). 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w:t>
      </w:r>
    </w:p>
    <w:p>
      <w:r>
        <w:rPr>
          <w:b/>
        </w:rPr>
        <w:t>E. 5.3</w:t>
      </w:r>
    </w:p>
    <w:p>
      <w:r>
        <w:t>En particulier, un enchaînement rapide des événements permet de fonder la présomption de fait que la naturalisation a été obtenue frauduleusement (cf. ATF 135 II 161 consid. 3). La jurisprudence actuelle reconnaît que l'enchaînement chronologique des événements est rapide lorsque les époux se sont séparés quelques mois après la décision de naturalisation - c'est-à-dire, en règle générale, jusqu'à 20 mois après l'octroi de la naturalisation (cf., en ce sens, arrêts du TF 1C_796/2013 du 13 mars 2014 consid. 3.2 [20 mois], 1C_172/2012 du 11 mai 2012 consid. 2.3 [22 mois] et 1C_377/2017 du 12 octobre 2017 consid. 2.1.2) - et/ou introduisent rapidement une demande en divorce.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1C_493/2010 du 28 février 2011 consid. 6).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arrêts du TF 1C_587/2013 du 29 août 2013 consid. 3.4 et 1C_228/2009 du 31 août 2009 consid. 3).</w:t>
      </w:r>
    </w:p>
    <w:p>
      <w:r>
        <w:rPr>
          <w:b/>
        </w:rPr>
        <w:t>E. 5.4</w:t>
      </w:r>
    </w:p>
    <w:p>
      <w:r>
        <w:t>Si la présomption d'acquisition frauduleuse est donnée, il incombe alors à l'administré, en raison non seulement de son devoir de collaborer à l'établissement des faits (cf. art. 13 al. 1 let. a PA), mais encore de son propre intérêt, de renverser cette présomption (cf. ATF 135 II 161 consid. 3, 132 II 113 consid. 3.2, 130 II 482 consid. 3.2 ; arrêts du TF précités 1C_588/2017 consid. 5.2 et 1C_362/2017 consid. 2.2.2, et les réf. cit.). 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(cf. ATF 135 II 161 consid. 3, 132 II 113 consid. 3.2, 130 II 482 consid. 3.2 ; arrêts du TF précités 1C_588/2017 consid. 5.2 et 1C_362/2017 consid. 2.2.2, et les réf. cit.).</w:t>
      </w:r>
    </w:p>
    <w:p>
      <w:r>
        <w:rPr>
          <w:b/>
        </w:rPr>
        <w:t>E. 6.1</w:t>
      </w:r>
    </w:p>
    <w:p>
      <w:r>
        <w:t>Au préalable, il y a lieu de constater que les conditions formelles d'annulation de la naturalisation facilitée prévues par l'art. 41 aLN sont réalisées en l'espèce. En effet, la naturalisation facilitée accordée à la recourante 1 par décision du 10 juillet 2010, entrée en vigueur le 9 septembre 2010, a été annulée par l'autorité inférieure le 11 janvier 2017, avec l'assentiment de l'autorité du canton d'origine compétente, le délai absolu de huit ans étant respecté (cf. art. 41 al. 1 aLN). 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6.2</w:t>
      </w:r>
    </w:p>
    <w:p>
      <w:r>
        <w:t>En l'occurrence, la recourante 1 et son ex-époux ont signé la déclaration concernant la communauté conjugale le 2 mars 2010. L'intéressée a été, ensuite, naturalisée par décision du 10 juillet 2010, entrée en vigueur le 9 septembre 2010. Il ressort des pièces contenues au dossier de l'autorité inférieure que l'ex-mari de l'intéressée a quitté le domicile conjugal qui se trouvait à Genève pour s'établir à Z._______ (VD) le 19 décembre 2011. En date du 23 avril 2012, le couple a déposé une requête commune de divorce, celui-ci ayant été prononcé par jugement du 4 septembre 2012, devenu exécutoire le 3 octobre 2012. Ce sont donc environ 17 mois (respectivement un peu plus de 15 mois) qui se sont écoulés entre la décision de naturalisation et la séparation de fait du couple le 19 décembre 2011, cette séparation pouvant être considérée comme définitive et non pas seulement temporaire, comme semble l'alléguer la recourante (« le couple [aurait] décidé de vivre temporairement séparés [...] », cf. recours p. 9), ou justifiée par des raisons majeures au sens de l'art. 49 LEI. Le couple ne s'est en effet plus remis ensemble et a déposé quelques mois après (c'est-à-dire à la fin avril 2012) une requête commune en divorce, qui plus est avec accord complet. A ce sujet, on relèvera que l'ex-époux de l'intéressée confirme cette appréciation, ayant indiqué que leur séparation de fait remontait au 19 décembre 2011 (cf. audition de l'ex-mari du 13 septembre 2016, D. 14 p. 3). On peut ainsi retenir un enchaînement chronologique rapide des événements, permettant de présumer l'obtention frauduleuse de la naturalisation (cf. consid. 5.3 supra). Il y a dès lors lieu de déterminer si un événement extraordinaire est susceptible d'expliquer, dans le cas concret, une détérioration rapide du lien conjugal, respectivement si l'intéressée n'était pas en mesure de se rendre compte des difficultés que rencontrait son couple.</w:t>
      </w:r>
    </w:p>
    <w:p>
      <w:r>
        <w:rPr>
          <w:b/>
        </w:rPr>
        <w:t>E. 6.3</w:t>
      </w:r>
    </w:p>
    <w:p>
      <w:r>
        <w:t>Dans son mémoire de recours du 15 février 2017, l'intéressée a indiqué qu'au moment où le SEM lui avait accordé la naturalisation facilitée, elle ne considérait pas les difficultés à concevoir un enfant comme un facteur susceptible de conduire à l'éclatement de l'union qu'elle formait avec son ex-conjoint. L'ampleur du problème se serait révélée lorsqu'un jour de février 2011, son ex-époux (qui n'était, selon elle, pas de nature violente) aurait eu un comportement qui aurait nécessité l'intervention de la police et des ambulanciers (cf. recours, p. 19, dossier TAF act. 1). La recourante 1 fait donc valoir autant l'existence d'un événement extraordinaire tel que décrit supra que l'absence de conscience de sa part de la gravité des problèmes rencontrés par son couple (soit l'impossibilité de procréer).</w:t>
      </w:r>
    </w:p>
    <w:p>
      <w:r>
        <w:rPr>
          <w:b/>
        </w:rPr>
        <w:t>E. 6.3.1</w:t>
      </w:r>
    </w:p>
    <w:p>
      <w:r>
        <w:t>S'agissant de l'événement extraordinaire allégué, il ressort d'une fiche de renseignements établie par la Cheffe de la police genevoise le (...) août 2014 et produite par l'intéressée à l'appui de son courrier du 28 octobre 2014 adressé à l'autorité inférieure, que cette dernière s'était rendue au poste de police le (...) février 2011 pour déposer une main courante, indiquant que son mari avait, sous l'effet de l'alcool, cassé une porte (vitrée) et qu'elle avait eu très peur de ce comportement. L'intéressée n'a, par contre, été ni menacée ni frappée (cf. fiche de renseignements du [...] août 2014, dossier de l'autorité inférieure). Son ex-conjoint s'était, par contre, blessé à la main droite, ce qui avait nécessité une consultation aux urgences (cf. résumé du séjour du [...].02.2011 établi le même jour par le Service des urgences des Hôpitaux Universitaires de Genève [ci-après : HUG], dossier de l'autorité inférieure et dossier TAF act. 1 pce 8). Interrogé au sujet de cet événement lors de son audition du 13 septembre 2016, l'ex-époux de l'intéressée a confirmé que lors d'une dispute il avait tapé dans une porte vitrée, qu'il avait cassée, et qu'il avait dû être conduit à l'hôpital pour guérir sa blessure. Il a toutefois affirmé que son épouse (vis-à-vis de laquelle il n'avait pas été violent) n'avait pas pris peur de reprendre la vie commune suite à cette altercation (cf. rapport d'audition du 13 septembre 2016, D.23 p. 4). Cette vision des faits est contestée par la recourante 1 qui a allégué, pour sa part, que cet événement était bien à l'origine de la séparation du couple. Elle a précisé que son fils, alors âgé de 10 ans, aurait assisté à la scène et aurait continué à avoir peur de son beau-père, ce qui aurait contribué à la décision de séparation (cf. observations de l'intéressée du 15 novembre 2016 p. 2 et mémoire de recours, p. 8 et 9). Bien que cet événement ait pu être choquant pour la recourante 1 (et pour son fils, étant précisé que le rapport établi par la Cheffe de la police genevoise du [...] août 2014 concernant la main courante déposée par l'intéressée ne fait singulièrement pas mention de la présence du recourant 2 lors de l'accès de violence de son beau-père, ce qui suscite des doutes quant à la version des événements relatée par la recourante 1), il ne constitue pas un événement extraordinaire susceptible d'expliquer, à lui seul, la dégradation rapide des liens conjugaux. L'origine des problèmes rencontrés par le couple réside bien plutôt dans les difficultés, voire l'incapacité à procréer auxquelles ils ont été confrontés, celles-ci remontant à une période antérieure à la déclaration concernant l'union conjugale et à la décision d'octroi de la naturalisation facilitée. Alors que la recourante 1 et son ex-époux avaient toujours eu le souhait d'avoir des enfants ensemble (cf., notamment, mémoire de recours, p. 4), l'intéressée a subi une première fausse couche en avril 2005 (cf. rapport médical du HUG du [...] avril 2005, dossier TAF act. 1 pce 3). Avant cela, le couple avait consulté un médecin spécialiste pour des investigations et un traitement d'une infertilité de couple de 2004 à 2005 (cf. attestations médicales du [...] mars 2017 et du [...] novembre 2017, dossier TAF act. 8 pce 17 et act. 19 pce 26). En 2006, l'ex-époux de l'intéressée a été hospitalisé pour déterminer la cause de leurs problèmes et a subi une opération pour améliorer sa fertilité (cf. rapport médical du [...] février 2006, dossier TAF pce 4). En 2007, la recourante 1 a, cependant, dû recourir à une interruption volontaire de grossesse (cf. protocole d'information pour interruption de grossesse de la Clinique de gynécologie et d'obstétrique de l'Hôpital cantonal de Fribourg, dossier TAF pce 5). Ces échecs ont, sans aucun doute, été difficiles pour le couple, très désireux d'avoir des enfants communs, et étaient de nature à entraîner la déliquescence des liens entre les époux. Cette appréciation se voit confirmée par les déclarations de l'ex-époux, interrogé sur l'origine de leurs problèmes conjugaux et sur un éventuel événement particulier qui aurait mis en cause la communauté conjugale, selon lesquelles « Nous souhaitions avoir des enfants et nous n'y arrivions pas. Pour vous répondre, mon ex-épouse avait fait une fausse couche à 3 mois. Nous avions fait divers examens afin de savoir si l'un ou l'autre ne pouvait avoir d'enfant [...] C'est pour cette raison, notamment, que nous nous sommes engueulés. Nous commencions à moins s'entendre, il n'y avait plus de feeling » et « Comme je disais avant, on arrivait pas à s'entendre et pas avoir d'enfant et voilà [...] Je ne vois pas d'autre sujet qui aurait conduit à cette séparation » (audition du 13 septembre 2016, D. 12 et 17 p. 3) ainsi que par le témoignage d'amis du couple selon lesquels « [...] leur incapacité de procréer y a joué un rôle [c'est-à-dire dans leur divorce] malgré l'amour et la complicité qu'ils vivaient » (dossier TAF act. 8 pce 16). Si cet accès de violence de la part de l'ex-époux (qui serait un événement isolé, la recourante 1 ayant indiqué que son ex-mari n'avait jusqu'alors jamais été violent, et n'ayant pas été dirigé contre l'intéressée elle-même) avait été seul à l'origine de la détérioration des liens conjugaux, on aurait pu attendre du couple - ceux-ci ayant toujours allégué que leur mariage était un mariage d'amour et que les liens entre le recourant 2 et son beau-père étaient très étroits, ce dernier le considérant comme son propre fils et ayant même envisagé de l'adopter (cf. mémoire de recours p. 3 et 6) - qu'il cherchât conseil auprès d'un tiers (par ex. psychologue) pour surmonter cet événement, respectivement fasse recours à des mesure protectrices de l'union conjugale avant d'engager une procédure de divorce. En l'occurrence, les époux n'ont pas cherché d'autres alternatives avant de requérir le divorce sur requête commune, ce qui constitue un indice supplémentaire permettant d'admettre que les problèmes au sein du couple étaient bien antérieurs à cet événement isolé et trouvent leur origine dans l'incapacité - toute malheureuse qu'elle soit - de l'intéressée et de son ex-époux de concevoir des enfants communs. A cela s'ajoute le fait que la recourante 1 n'a pas amené d'éléments démontrant l'existence de projets concrets et sérieux du couple, postérieurs à la déclaration concernant la communauté conjugale (en mars 2010) et la décision d'octroi de la naturalisation (en juillet 2010), susceptibles de convaincre le Tribunal de la stabilité de leur union et de son caractère tourné vers l'avenir. Certes, l'ex-conjoint de la recourante 1 a évoqué un projet d'acquisition d'un appartement à Genève en 2011. Ce projet ne s'est toutefois pas réalisé (cf. lettre de l'ex-époux du 24 octobre 2017, p. 2, dossier TAF act. 19 pce 25), de sorte qu'il n'est pas possible d'admettre le caractère réellement sérieux de ce projet. De même le déménagement à Genève en juillet 2010 - qui serait, selon l'intéressée, un indicateur fort que la communauté conjugale était effective, stable et tournée vers l'avenir, compte tenu de l'investissement financier qu'il représentait, la vie et les loyers étant plus élevés à Genève (cf. réplique du 16 novembre 2017 p. 2, dossier TAF act. 19) - n'est pas non plus à même de renverser la présomption selon laquelle ils auraient menti quant à la stabilité de leur union, étant précisé que lors de son audition du 13 septembre 2016, l'ex-époux avait affirmé que ce déménagement était le souhait de son épouse (et non pas un projet commun, comme il l'a affirmé plus tard dans son courrier du 24 octobre 2017, p. 2) et qu'ils avaient commencé à rencontrer des difficultés au sein de leur couple au moment de ce déménagement, ce que la recourante 1 n'a alors pas contesté (cf. audition du 13 septembre 2016, D. 8 et 11 p. 2 et 3 et observations du 15 novembre 2016, p. 2). On ne peut donc pas considérer ce déménagement à Genève comme un élément démontrant la stabilité de l'union conjugale et son caractère tourné vers l'avenir. Les nombreuses photographies produites par la recourante 1 ne sont, à ce titre, pas non plus déterminantes puisqu'elles ne couvrent que les années 2002 à 2007. Quant aux lettres de soutien, elles ne permettent pas non plus de démontrer la stabilité de l'union conjugale, étant précisé qu'il est très difficile pour des tiers de se rendre compte de l'ampleur des problèmes que rencontre un couple. S'agissant enfin de l'excursion qu'auraient faite l'ex-conjoint et le recourant 2 à Europa-Park en 2011 (cf. courrier de l'ex-époux du 23 mars 2017, dossier TAF act. 8 pce 19), il y a lieu de constater qu'aucune pièce n'a été produite pour prouver cette excursion. Par ailleurs, même si elle était établie, elle ne permettrait pas de conclure à la stabilité de l'union conjugale, puisque l'on pourrait admettre que l'ex-époux passe du temps avec le recourant 2, malgré les difficultés rencontrées dans le couple. Au final, il y a lieu d'admettre que l'origine des problèmes du couple réside dans leur incapacité de concevoir un enfant commun, cette incapacité ayant été constatée plusieurs années avant, soit la dernière fois en 2007, lors de l'interruption volontaire de grossesse de la recourante 1. Il y a dès lors lieu de présumer qu'au moment de la déclaration concernant la communauté conjugale en mars 2010 et la décision d'octroi de la naturalisation facilitée en juillet 2010, le couple rencontrait déjà des difficultés notables. L'accès de violence de l'ex-conjoint en février 2011 ne constitue pas un événement extraordinaire susceptible d'expliquer la détérioration rapide des liens entre les époux ; il représente plutôt une expression symptomatique du processus de déliquescence de l'union conjugale ayant débuté plusieurs années avant. Ni le projet d'achat d'un appartement à Genève, qui ne s'est jamais concrétisé, ni le déménagement à Genève en juillet 2010 ne sont susceptibles d'établir la stabilité de l'union conjugale. Ceci vaut également pour les autres éléments invoqués par la recourante 1, soit notamment les photographies et les lettres de soutien produites.</w:t>
      </w:r>
    </w:p>
    <w:p>
      <w:r>
        <w:rPr>
          <w:b/>
        </w:rPr>
        <w:t>E. 6.3.2</w:t>
      </w:r>
    </w:p>
    <w:p>
      <w:r>
        <w:t>Contrairement à ce qu'invoque la recourante 1, il n'est pas crédible qu'elle n'ait pas pu se rendre compte plus tôt (c'est-à-dire avant l'accès de violence de son ex-époux de février 2011) que l'incapacité qu'ils avaient de concevoir un enfant commun était susceptible d'entraîner la séparation du couple. L'intéressée et son ex-mari ont vécu ensemble les moments difficiles qu'ont constitué la fausse couche de cette dernière en 2005, les consultations chez un spécialiste de 2004 à 2005 et à l'HUG en 2006 ainsi que l'interruption de grossesse intervenue en 2007. Ils avaient également tous deux exprimé le souhait d'avoir des enfants ensemble, la recourante 1 ayant affirmé dans son recours que « Dès le début de leur relation, les époux avaient tous deux à coeur de concevoir d'autres enfants, souhaitant avoir une grande famille et des enfants communs, fruits de leur amour. La conception de ces enfants était un élément indispensable et logique à leurs yeux » (mémoire de recours, p. 4). Il est dès lors invraisemblable que ce problème n'ait pas fait l'objet de nombreuses discussions au sein du couple et que l'intéressée n'ait pas pu se rendre compte que cette situation leur pesait et qu'elle était susceptible d'entraîner la rupture de l'union conjugale. On relèvera à ce titre que la recourante 1 a expliqué, dans son mémoire de recours, que leur déménagement pour le canton de Vaud en septembre 2007 (après qu'ils avaient habité un peu plus d'une année dans le canton de Fribourg), avait été motivé par le fait qu'ils voulaient s'éloigner de leur famille et de leur entourage, ne supportant pas de rencontrer des couples ayant eu des enfants, en particulier celui que formait le frère de la recourante 1 et la soeur de son ex-époux (cf. mémoire de recours, p. 6). Ceci démontre l'importance du problème que représentait leur incapacité à concevoir des enfants sur la vie du couple. En conclusion, l'intéressée n'est pas crédible lorsqu'elle affirme qu'elle n'avait pas conscience du sérieux des problèmes rencontrés par son couple et que seul l'accès de violence de son ex-époux en février 2011 lui aurait permis d'en prendre conscience.</w:t>
      </w:r>
    </w:p>
    <w:p>
      <w:r>
        <w:rPr>
          <w:b/>
        </w:rPr>
        <w:t>E. 6.4</w:t>
      </w:r>
    </w:p>
    <w:p>
      <w:r>
        <w:t>La recourante 1 n'ayant pas rendu pour le moins vraisemblable la survenance d'un événement extraordinaire postérieur à la décision de naturalisation facilitée susceptible de provoquer la rupture de l'union conjugale et n'ayant pas non plus rendu crédible le fait qu'elle n'ait pas été en mesure de se rendre compte des problèmes que rencontrait son couple, il y a lieu de présumer que la naturalisation facilitée a été acquise de manière trompeuse.</w:t>
      </w:r>
    </w:p>
    <w:p>
      <w:r>
        <w:rPr>
          <w:b/>
        </w:rPr>
        <w:t>E. 6.5</w:t>
      </w:r>
    </w:p>
    <w:p>
      <w:r>
        <w:t>Il ressort, par ailleurs, du dossier que la recourante 1 s'est mariée le 28 juin 2013 en Suisse avec le père du recourant 2, avec lequel elle avait vraisemblablement eu une relation dans son pays d'origine et qu'elle a quitté avant son départ de Côte d'Ivoire en 2002. Selon les déclarations de l'intéressée (qui ne peuvent toutefois pas être vérifiées faute de preuves et dont la véracité est dès lors sujette à caution), son ex-compagnon serait revenu en Suisse durant l'été 2012, l'intéressée affirmant qu'elle n'en était alors pas informée. Leur fille étant née le 7 juillet 2013, sa conception a dû avoir lieu neuf mois avant, soit en octobre 2012. On peut à cet égard s'étonner de ce qu'en l'espace de quelques mois, l'intéressée et son ex-compagnon se soient remis ensemble et aient conçu un enfant, après n'avoir eu - comme l'affirme la recourante 1 - presque plus aucun contact auparavant, à l'exception de l'organisation des visites que le recourant 2 faisait à son père. Dans ce cas également, on pourrait parler d'un enchaînement rapide des événements, qui tendrait à renforcer la présomption d'un comportement trompeur de la part de la recourante 1. Le fait que l'intéressée n'ait pas mentionné son mariage avec le père du recourant 2 et la naissance de leur fille à l'autorité inférieure lorsqu'elle a été invitée à se prononcer sur la potentielle annulation de sa naturalisation facilitée et n'ait pas ainsi fait preuve de transparence vis-à-vis des autorités ne parle pas en sa faveur et corrobore l'élément de tromperie susmentionné. Par contre, le Tribunal ne se penchera pas plus avant sur les éléments relevés par l'autorité inférieure dans sa décision, permettant selon elle de douter de la réalité de la communauté conjugale que formait la recourante 1 et son ex-époux (le SEM ayant même évoqué un soupçon de prostitution, cf. décision du 11 janvier 2017 ch. 5 p. 5 et 6). Il rappellera toutefois à ce titre que, selon la jurisprudence du Tribunal fédéral, l'existence d'un mariage fictif ab initio ne peut pas être admis facilement lorsque l'union conjugale a été d'une certaine durée et qu'il n'apparaît pas manifeste qu'elle soit de pure façade (cf. arrêt du TF 2C_1055/2015 du 16 juin 2016 consid. 2.2).</w:t>
      </w:r>
    </w:p>
    <w:p>
      <w:r>
        <w:rPr>
          <w:b/>
        </w:rPr>
        <w:t>E. 6.6</w:t>
      </w:r>
    </w:p>
    <w:p>
      <w:r>
        <w:t>La recourante 1 s'est prévalue de l'inopportunité de l'annulation de sa naturalisation facilitée, invoquant le fait qu'elle avait séjourné en Suisse depuis 14 ans, avait été titulaire d'une autorisation d'établissement et qu'elle remplissait manifestement toutes les conditions pour obtenir, à brève échéance, une naturalisation ordinaire (cf. mémoire de recours, p. 25). A ce titre, il y a lieu de rappeler que, selon la jurisprudence du Tribunal fédéral, le fait que la personne concernée puisse solliciter la naturalisation ordinaire n'empêche pas le retrait de la naturalisation facilitée, la naturalisation ordinaire et la naturalisation facilitée se distinguant non seulement dans leurs conditions d'octroi, mais aussi quant à la procédure applicable et aux autorités compétentes (cf. arrêts du TF 1C_362/2017 du 12 octobre 2017 consid. 2.4 in fine et 1C_264/2011 du 23 août 2011 consid. 4 et la réf. cit.). Le présent litige ne portant que sur l'examen des conditions dans lesquelles la recourante 1 a obtenu la naturalisation facilitée, les arguments avancés par cette dernière tirés de sa durée de séjour en Suisse, du fait qu'elle a été titulaire d'une autorisation d'établissement et qu'elle remplisse « manifestement » toutes les conditions pour obtenir une naturalisation ordinaire, sont sans pertinence (cf., dans ce sens, l'arrêt du TAF C-5891/2012 du 26 juin 2013 consid. 8.3 et les réf. cit.). Le grief tiré de l'inopportunité de l'annulation de la naturalisation facilitée de l'intéressée est dès lors infondé.</w:t>
      </w:r>
    </w:p>
    <w:p>
      <w:r>
        <w:rPr>
          <w:b/>
        </w:rPr>
        <w:t>E. 6.7</w:t>
      </w:r>
    </w:p>
    <w:p>
      <w:r>
        <w:t>Au vu de ce qui précède, l'autorité inférieure n'a pas violé le droit fédéral et n'a pas abusé de son pouvoir d'appréciation en annulant la naturalisation facilitée de la recourante 1. Cette décision n'est, par ailleurs, pas inopportune. Le recours doit être à ce titre rejeté.</w:t>
      </w:r>
    </w:p>
    <w:p>
      <w:r>
        <w:rPr>
          <w:b/>
        </w:rPr>
        <w:t>E. 7.1</w:t>
      </w:r>
    </w:p>
    <w:p>
      <w:r>
        <w:t>La recourante 1, agissant alors pour le compte de son fils encore mineur au moment du dépôt du recours, a invoqué une violation de l'art. 41 al. 3 aLN, reprochant à l'autorité inférieure de n'avoir fait aucune mention dans les considérants de sa décision des motifs qui l'avaient conduite à étendre les effets de l'annulation de la naturalisation facilitée à son fils. Elle a également fait valoir que le recourant 2 avait plus de 16 ans au moment de la décision d'annulation de la naturalisation facilitée et remplissait les conditions de la naturalisation ordinaire. Se référant à la jurisprudence du Tribunal fédéral et aux directives du SEM en la matière, elle a considéré que c'était en violation du droit fédéral que l'autorité inférieure avait étendu les effets de la décision querellée au recourant 2.</w:t>
      </w:r>
    </w:p>
    <w:p>
      <w:r>
        <w:rPr>
          <w:b/>
        </w:rPr>
        <w:t>E. 7.2</w:t>
      </w:r>
    </w:p>
    <w:p>
      <w:r>
        <w:t>En vertu de l'art. 41 al. 3 aLN, l'annulation fait également perdre la nationalité suisse aux membres de la famille qui l'ont acquise en vertu de la décision annulée, sauf décision expresse. Comme l'a constaté le Tribunal fédéral, l'annulation de la naturalisation ne se répercute pas automatiquement sur les autres membres de la famille. L'art. 41 al. 3 aLN ne mentionne cependant pas les conditions dans lesquelles les effets d'une telle annulation doivent être étendus à ces derniers (cf. ATF 135 II 161 consid. 5.3 ; arrêt du TF 1C_214/2015 du 6 novembre 2015 consid. 2.1). Selon le Tribunal fédéral, il incombait aux autorités chargées d'appliquer cette disposition de développer des critères et principes dont il y avait lieu de tenir compte pour limiter les effets d'une annulation de la naturalisation facilitée à la seule personne concernée, respectivement pour l'étendre aux autres membres de la famille, les autorités devant s'inspirer pour ce faire de la Constitution et des buts de la loi (ATF 135 II 161 précité ibid. et arrêt du TF 1C_214/2015 précité ibid.). En réponse à cette jurisprudence (ATF 135 II 161), le SEM a développé dans ses directives (pour les demandes jusqu'au 31 décembre 2017) deux hypothèses dans lesquelles les enfants sont exclus de l'intégration dans la décision d'annulation : lorsqu'ils sont, de manière cumulative, au moins âgés de 16 ans au moment de la décision d'annulation et qu'ils remplissent les conditions de la naturalisation ordinaire (aptitude selon l'art. 14 ainsi que les conditions de résidence au sens de l'art. 15 aLN) ou lorsqu'ils deviendraient apatrides par une décision d'annulation (cf. Manuel sur la nationalité pour les demandes jusqu'au 31 décembre 2017, Chapitre 6 : Annulation de la naturalisation, consultable sur le site du SEM : www.sem.admin.ch sous Publications &amp; Services &gt; Directives et circulaires &gt; Nationalité, consulté en janvier 2019 ; cf. arrêts du TAF C-5957/2009 du 24 juillet 2012 consid. 11.1 et C-1389/2009 du 13 septembre 2011 consid. 8.1). Ayant un caractère clairement normatif, on peut douter que la forme choisie par le SEM (c'est-à-dire des directives) pour formuler ces exceptions ait respecté le principe de la légalité (art. 5 al. 1 Cst.). Celles-ci auraient dû à tout le moins être ancrées dans une ordonnance législative de substitution. Il y a lieu de relever toutefois qu'il a été entretemps remédié à ce défaut de base légale, puisque ces deux hypothèses sont maintenant prévues à l'art. 36 al. 4 de la nouvelle loi sur la nationalité suisse du 20 juin 2014 (LN ; RS 141.0), entrée en vigueur le 1er janvier 2018 (cf., pour plus de détails, Message concernant la révision totale de la loi fédérale sur l'acquisition et la perte de la nationalité suisse du 4 mars 2011, FF 2011 2639, 2674 s.). Durant la période antérieure à cette codification, l'on peut aussi y voir une pratique administrative, sanctionnée par le Tribunal fédéral, visant à combler une lacune de la loi et de ce fait conforme au droit.</w:t>
      </w:r>
    </w:p>
    <w:p>
      <w:r>
        <w:rPr>
          <w:b/>
        </w:rPr>
        <w:t>E. 7.3</w:t>
      </w:r>
    </w:p>
    <w:p>
      <w:r>
        <w:t>En l'occurrence, il ressort du dispositif de la décision attaquée que les effets de l'annulation s'étendent également au recourant 2 qui avait acquis la nationalité suisse en même temps que sa mère. Il ne ressort par contre pas des considérants sur quels motifs l'autorité inférieure s'est fondée pour justifier sa décision, étant rappelé qu'une telle extension des effets de l'annulation n'est pas automatique et que l'intéressé (né le 12 juillet 2000) était effectivement âgé de plus de 16 ans au moment du prononcé de la décision d'annulation du 11 janvier 2017 et qu'il était entré officiellement en Suisse en date du 31 juillet 2003, à l'âge de 3 ans. Conformément à la jurisprudence et aux directives précitées (les deux hypothèses prévues dans ces dernières ayant été, comme mentionné supra, reprises dans le nouveau droit sur la nationalité), le SEM aurait dès lors dû examiner s'il devait renoncer à étendre les effets de l'annulation de la naturalisation au recourant 2 et justifier sa décision.</w:t>
      </w:r>
    </w:p>
    <w:p>
      <w:r>
        <w:rPr>
          <w:b/>
        </w:rPr>
        <w:t>E. 7.4</w:t>
      </w:r>
    </w:p>
    <w:p>
      <w:r>
        <w:t>Comme il est nécessaire de déterminer si le recourant 2 remplit, notamment, les conditions d'aptitude prévue à l'art. 14 aLN (ou, selon le nouveau droit, les conditions matérielles prévues à l'art. 11 nLN) et que le dossier ne contient pas d'informations actualisées et complètes visant spécifiquement l'intégration de l'intéressé (les derniers renseignements remontant à la procédure d'octroi de la naturalisation facilitée qui a été close en 2010), il y a lieu de renvoyer la cause à l'autorité inférieure pour qu'elle instruise cette question et rende une nouvelle décision concernant le recourant 2, en tenant dûment compte du droit d'être entendu de celui-ci (cf. art. 61 al. 1 PA). Le recours doit être par conséquent admis sur ce seul point et la cause renvoyée au SEM pour complément d'instruction et nouvelle décision dans le sens des considérants.</w:t>
      </w:r>
    </w:p>
    <w:p>
      <w:r>
        <w:rPr>
          <w:b/>
        </w:rPr>
        <w:t>E. 8.1</w:t>
      </w:r>
    </w:p>
    <w:p>
      <w:r>
        <w:t>Bien qu'elle succombe partiellement, l'autorité inférieure n'a pas à s'acquitter de frais réduits de procédure (art. 63 al. 2 PA).</w:t>
      </w:r>
    </w:p>
    <w:p>
      <w:r>
        <w:rPr>
          <w:b/>
        </w:rPr>
        <w:t>E. 8.2</w:t>
      </w:r>
    </w:p>
    <w:p>
      <w:r>
        <w:t>Etant donné que les recourants n'obtiennent gain de cause que sur la question de l'extension ou non des effets de l'annulation de la naturalisation facilitée à celle du recourant 2, l'affaire étant renvoyée à l'autorité inférieure pour instruction et nouvelle décision sur ce point, alors que l'argumentation juridique contenue dans les écritures des intéressés portait essentiellement sur la question de l'annulation de la naturalisation facilitée de la recourante 1, des frais réduits de procédure d'un montant de 900 francs sont mis à la charge des recourants en tant que débiteurs solidaires (art. 63 al. 1 PA et 6a du règlement du 21 février 2008 concernant les frais, dépens et indemnités fixés par le Tribunal administratif fédéral [FITAF, RS 173.320.2] ; cf., à ce sujet, André Moser et al., Prozessieren vor dem Bundesverwaltungsgericht, Handbücher für die Anwaltspraxis, vol. X, 2e éd. 2013, n° 4.45 p. 257). Cette solidarité se justifie par le fait que ce n'est que récemment (c'est-à-dire le 12 juillet 2018) que le recourant 2 est devenu majeur et que les recourants ont toujours agi ensemble (c'est-à-dire la mère pour le compte de son fils encore mineur) dans le cadre de la présente procédure de recours. Sur les 1'500 francs versés le 7 mars 2017 à titre d'avance de frais, un montant de 600 francs leur sera partant restitué.</w:t>
      </w:r>
    </w:p>
    <w:p>
      <w:r>
        <w:rPr>
          <w:b/>
        </w:rPr>
        <w:t>E. 8.3</w:t>
      </w:r>
    </w:p>
    <w:p>
      <w:r>
        <w:t>Retenant une nouvelle fois que ce n'est qu'en date du 12 juillet 2018 que le recourant 2 est devenu majeur et que les écritures produites par les recourants (ou, plus précisément, par la recourante 1 pour le compte également de son fils) l'ont été antérieurement à cette date, le Tribunal leur alloue en tant que créanciers solidaires des dépens réduits, à charge de l'autorité inférieure (cf. art. 64 al. 1 PA en relation avec les art. 6a, applicable par analogie, et 7 FITAF ). Le mandataire n'ayant pas produit de note d'honoraires, les dépens sont fixés sur la base du dossier en tenant compte du travail effectué, étant précisé que seuls les frais indispensables et relativement élevés sont indemnisés (art. 64 al. 1 PA et 14 al. 2 FITAF). En l'occurrence, il y a lieu de retenir la production d'un mémoire de recours de vingt-cinq pages, y compris annexes, d'un mémoire complémentaire de quatre pages, avec de nombreuses annexes, d'un courrier complémentaire de deux pages, avec pièces justificatives, et d'un mémoire de réplique d'un peu plus d'une page. En tenant compte d'un tarif horaire de 300 francs (cf. art. 10 al. 2 FITAF) et d'un total de huit heures de travail, le Tribunal fixe l'indemnité de dépens ex aequo et bono à 2'700 francs. Les recourants n'ayant toutefois obtenu que partiellement gain de cause, cette indemnité sera réduite à 1'100 francs.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