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F-9953/2025 vom 21. Januar 2026</w:t>
      </w:r>
    </w:p>
    <w:p>
      <w:r>
        <w:t>Bundesverwaltungsgericht, 2026-01-21, DE</w:t>
      </w:r>
    </w:p>
    <w:p>
      <w:r>
        <w:rPr>
          <w:b/>
        </w:rPr>
        <w:t xml:space="preserve">Quelle: </w:t>
      </w:r>
      <w:r>
        <w:t>https://mcp.opencaselaw.ch/entscheid/bvger_F-9953_2025</w:t>
      </w:r>
    </w:p>
    <w:p>
      <w:r>
        <w:t>FR: TAF F-9953/2025 du 21 janvier 2026</w:t>
      </w:r>
    </w:p>
    <w:p>
      <w:r>
        <w:t>IT: TAF F-9953/2025 del 21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Das Bundesverwaltungsgericht ist für die Behandlung der Beschwerde zuständig (Art. 105 AsylG; Art. 31 ff. VGG). Die übrigen Sachurteilsvoraussetzungen (Legitimation [Art. 48 Abs. 1 VwVG], Frist [Art. 108 Abs. 3 AsylG] und Form [Art. 52 Abs. 1 VwVG]) sind erfüllt.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Vorinstanz hat korrekt erwogen, dass gemäss Art. 18 Abs. 1 Bst. b Dublin-III-VO grundsätzlich Bulgarien für die Behandlung des Asylgesuchs des Beschwerdeführers zuständig ist, dass das bulgarische Asylsystem rechtsprechungsgemäss keine systemischen Mängel aufweist (vgl. Referenzurteil des BVGer F-7195/2018 vom 11. Februar 2020 E. 6.6.7),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insbesondere die Vorbringen des Beschwerdeführers im Hinblick auf seine Rückkehr nach Bulgarien (Situation in Bulgarien, schlechte Behandlung seitens der bulgarischen Behörden, Zugang zum Asylverfahren, Ausschaffung in die Türkei und Kettenabschiebung nach Syrien, Non-Refoulement-Gebot) sowie seinen Gesundheitszustand (gemäss eigenen Aussagen psychisch schlechter Zustand, Splitter im Daumen, Nackenbeschwerden, Suizidgedanken, schlechte Träume, Schlafstörungen, Verdacht auf posttraumatische Belastungsstörung) berücksichtigt und rechtsprechungskonform gewürdigt.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3.2</w:t>
      </w:r>
    </w:p>
    <w:p>
      <w:r>
        <w:t>Was der Beschwerdeführer auf Rechtsmittelebene vorbringt, vermag an der Richtigkeit der angefochtenen Verfügung nichts zu ändern. Es ist daran zu erinnern, dass weder die Dublin-III-VO noch andere völkerrechtliche Bestimmungen den Gesuchstellenden ein Recht einräumen, den für die Durchführung des Asylverfahrens zuständigen Staat frei zu wählen (BVGE 2010/45 E. 8.3). Die von ihm wiedergegebenen Berichte von Nichtregierungsorganisationen zur Situation in Bulgarien, zu Aufnahmezentren, zu Rückführungen (Kettenrückschiebungen), zum Refoulement-Verbot, zum Gesundheitswesen sowie die geltend gemachten Erlebnisse vermögen keine systemischen Mängel im Sinne von Art. 3 Abs. 2 Dublin-III-VO zu belegen. Für eine Änderung der Rechtsprechung (zu den Voraussetzungen: BGE 147 V 342 E. 5.5.1 m.w.H.) besteht in Würdigung der vom Beschwerdeführer gemachten Äusserungen keine Veranlassung. Es ist demnach davon auszugehen, dass Gesuchstellende, welche gestützt auf die Dublin-III-VO nach Bulgarien überstellt werden, Zugang zum dortigen Asylverfahren erhalten und Bulgarien die Sicherheit gestützt auf die Dublin-III-VO überstellter Personen garantiert und deren Rechte gemäss dem internationalen Recht einhält (siehe E. 3.1 hiervor). Was den Gesundheitszustand des Beschwerdeführers (psychisch stark belastet) angeht, sind diese Leiden selbst in ihrer Gesamtbetrachtung - auch unter Berücksichtigung des Arztberichts (inkl. Laborblatt) des Spitals Thurgau vom 30. Dezember 2025 - nicht derart gravierend, dass gestützt auf Art. 3 EMRK von einer Überstellung nach Bulgarien abgesehen werden müsste. Nichtsdestotrotz ist ergänzend darauf hinzuweisen, dass Bulgarien über eine ausreichende medizinische Infrastruktur verfügt (vgl. Urteil des BVGer F-1301/2025 vom 8. Dezember 2025 E. 5.2-5.6 [zur Publikation als Referenzurteil vorgesehen]).</w:t>
      </w:r>
    </w:p>
    <w:p>
      <w:r>
        <w:rPr>
          <w:b/>
        </w:rPr>
        <w:t>E. 3.3</w:t>
      </w:r>
    </w:p>
    <w:p>
      <w:r>
        <w:t>Entgegen den Vorbringen des Beschwerdeführers liegt weder eine Verletzung des rechtlichen Gehörs in Form der Prüfungs- und Begründungspflicht noch eine Verletzung des Untersuchungsgrundsatzes vor. Wie aus der Begründung des angefochtenen Entscheids hervorgeht, bezog die Vorinstanz die vom Beschwerdeführer geschilderten Erlebnisse im Zusammenhang mit der angespannten Situation in Bulgarien in ihren Entscheid mit ein. Hinsichtlich seiner Gesundheitssituation durfte die Vorinstanz den Sachverhalt angesichts der Aktenlage als hinreichend erstellt erachten, zumal aus den Akten hervorgeht, dass der Beschwerdeführer den Wunsch äusserte, nicht stationär in eine psychiatrische Klinik eingeliefert zu werden, und sich nach Vorstellung bei MedicHelp mit einem Gespräch mit einem Seelsorger begnügte. Dass der Beschwerdeführer die Schlussfolgerungen der Vorinstanz nicht teilt, begründet keine unvollständige Sachverhaltsabklärung, sondern betrifft deren rechtliche Würdigung. Folglich ist der Eventualantrag, die Sache sei zu weiteren Sachverhaltsabklärungen an die Vorinstanz zurückzuweisen, abzuweisen.</w:t>
      </w:r>
    </w:p>
    <w:p>
      <w:r>
        <w:rPr>
          <w:b/>
        </w:rPr>
        <w:t>E. 3.4</w:t>
      </w:r>
    </w:p>
    <w:p>
      <w:r>
        <w:t>Schliesslich geht das Bundesverwaltungsgericht in seiner Praxis davon aus, dass die schweizerischen Behörden bei den bulgarischen Behörden in der Regel keine individuellen Zusicherungen bezüglich des Zugangs zu adäquater Unterbringung, Betreuung und medizinischer Versorgung einzuholen haben (Referenzurteil des BVGer F-7195/2018 vom 11. Februar 2020 E. 7.4.1 ff.). Der entsprechende Subeventualantrag ist ebenfalls abzuweisen.</w:t>
      </w:r>
    </w:p>
    <w:p>
      <w:r>
        <w:rPr>
          <w:b/>
        </w:rPr>
        <w:t>E. 4</w:t>
      </w:r>
    </w:p>
    <w:p>
      <w:r>
        <w:t>Nach dem Gesagten ist die angefochtene Verfügung nicht zu beanstanden und die Beschwerde ist abzuweisen.</w:t>
      </w:r>
    </w:p>
    <w:p>
      <w:r>
        <w:rPr>
          <w:b/>
        </w:rPr>
        <w:t>E. 5</w:t>
      </w:r>
    </w:p>
    <w:p>
      <w:r>
        <w:t>Mit vorliegendem Urteil fällt der am 24. Dezember 2025 angeordnete Vollzugsstopp dahin und das Gesuch um Erteilung der aufschiebenden Wirkung wird gegenstandslos.</w:t>
      </w:r>
    </w:p>
    <w:p>
      <w:r>
        <w:rPr>
          <w:b/>
        </w:rPr>
        <w:t>E. 6.1</w:t>
      </w:r>
    </w:p>
    <w:p>
      <w:r>
        <w:t>Die Begehren erweisen sich als aussichtslos, weshalb das Gesuch um unentgeltliche Prozessführung (Art. 65 Abs. 1 VwVG) abzuweisen ist.</w:t>
      </w:r>
    </w:p>
    <w:p>
      <w:r>
        <w:rPr>
          <w:b/>
        </w:rPr>
        <w:t>E. 6.2</w:t>
      </w:r>
    </w:p>
    <w:p>
      <w:r>
        <w:t>Die Kosten des Verfahrens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