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F-9943/2025 vom 5. Januar 2026</w:t>
      </w:r>
    </w:p>
    <w:p>
      <w:r>
        <w:t>Bundesverwaltungsgericht, 2026-01-05, DE</w:t>
      </w:r>
    </w:p>
    <w:p>
      <w:r>
        <w:rPr>
          <w:b/>
        </w:rPr>
        <w:t xml:space="preserve">Quelle: </w:t>
      </w:r>
      <w:r>
        <w:t>https://mcp.opencaselaw.ch/entscheid/bvger_F-9943_2025</w:t>
      </w:r>
    </w:p>
    <w:p>
      <w:r>
        <w:t>FR: TAF F-9943/2025 du 5 janvier 2026</w:t>
      </w:r>
    </w:p>
    <w:p>
      <w:r>
        <w:t>IT: TAF F-9943/2025 del 5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(Art. 111a Abs. 1 und 2 AsylG) zu behandeln ist.</w:t>
      </w:r>
    </w:p>
    <w:p>
      <w:r>
        <w:rPr>
          <w:b/>
        </w:rPr>
        <w:t>E. 2.1</w:t>
      </w:r>
    </w:p>
    <w:p>
      <w:r>
        <w:t>Die Vorinstanz hat korrekt erwogen, dass aufgrund des ausgestellten Schengen-Visums - mit Gültigkeitsdauer bis zum 3. September 2025 - und der Zustimmung Bulgariens vom 21. November 2025 gemäss Art. 12 Abs. 4 Dublin-III-VO grundsätzlich Bulgarien für die Durchführung des Asyl- und Wegweisungsverfahrens des Beschwerdeführers zuständig ist. In diesem Zusammenhang hat sie zutreffend erwogen, dass das bulgarische Asylsystem rechtsprechungsgemäss keine systemischen Mängel aufweist, aufgrund derer die Zuständigkeit gemäss Art. 3 Abs. 2 Dublin-III-VO auf die Schweiz überginge, und dass der seit 2022 in der Schweiz wohnhafte Bruder des Beschwerdeführers nicht als Familienangehöriger im Sinne von Art. 2 Bst. g (und der darauf Bezug nehmenden Art. 9 ff.) Dublin-III-VO gilt. Ebenso hat sie richtig erkannt, dass keine Hinweise auf ein besonderes Abhängigkeitsverhältnis (im Sinne von Art. 16 Dublin-III-VO bzw. der diesbezüglich relevanten Rechtsprechung zu Art. 8 EMRK) zwischen ihm und seinem Bruder bestehen. Sodann hat die Vorinstanz zutreffend festgehalten, dass vorliegend keine völkerrechtlichen Vollzugshindernisse ersichtlich sind, welche die Schweiz zu einem Selbsteintritt nach Art. 17 Abs. 1 Dublin-III-VO verpflichten würden. Mit der Vorinstanz ist davon auszugehen, dass der Beschwerdeführer bei einer Überstellung im Rahmen des Dublinverfahrens keinen gravierenden Menschenrechtsverletzungen im Sinne von Art. 3 EMRK ausgesetzt oder unter Verletzung des Non-Refoulement-Gebots in seinen Heimatsstaat überstellt würde, und dass keine konkreten Hinweise dafür vorliegen, dass er bei einer Rückkehr nach Bulgarien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(ausser zwei Einträgen im Verlaufsblatt vom September 2025 wegen Kopfschmerzen und Schlafschwierigkeiten keine Arzttermine ausstehend und keine Arztberichte vorliegend) hinreichend abgeklärt und rechtsprechungskonform gewürdigt. Dabei hat sie berücksichtigt, dass ihm in Bulgarien nach Einreichung eines Asylgesuchs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Bulgarien angeordnet. Zur näheren Begründung wird auf die korrekten vorinstanzlichen Erwägungen verwiesen.</w:t>
      </w:r>
    </w:p>
    <w:p>
      <w:r>
        <w:rPr>
          <w:b/>
        </w:rPr>
        <w:t>E. 2.2.1</w:t>
      </w:r>
    </w:p>
    <w:p>
      <w:r>
        <w:t>Auf Rechtsmittelebene bringt der Beschwerdeführer im Wesentlichen unsubstantiiert vor, psychisch massiv belastet zu sein, jedoch seine psychischen Probleme aufgrund der Sprachbarriere, seiner Unkenntnis des Schweizer Gesundheitssystems sowie aus Angst und Scham lange nicht offen angesprochen zu haben. Dass er nicht aufgefallen sei oder keine Medikamente verlangt habe, bedeute nicht, dass es ihm psychisch gut gegangen sei. Zudem würden ihm in Bulgarien unmenschliche und unsichere Bedingungen drohen. Auch die Trennung von seinem Bruder - dessen Unterstützung ihm Halt, Stabilität und eine Perspektive gebe - würde ihn in eine extreme psychische Notlage bringen. Bei einer Überstellung nach Bulgarien bestehe die reale Gefahr einer massiven Verschlechterung seines psychischen Zustands.</w:t>
      </w:r>
    </w:p>
    <w:p>
      <w:r>
        <w:rPr>
          <w:b/>
        </w:rPr>
        <w:t>E. 2.2.2</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Aufenthaltsbedingungen von Asylsuchenden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von einer Überstellung von Asylsuchenden nach Bulgarien abzusehen. Korrekte Asylverfahren seien in Bulgarien nicht systembedingt unmöglich. Die Bedingungen in den Aufnahme- und Haftzentren seien zwar prekär, könnten aber nicht als unmenschlich oder entwürdigend qualifiziert werden (vgl. a.a.O., E. 6.6.7). Indessen sei bei Vorliegen von Indizien, es könnte sich um eine besonders vulnerable Person handeln, abzuklären, ob tatsächlich eine solche Vulnerabilität bestehe. Weiter sei zu klären, welches die konkreten Bedürfnisse der Betroffenen seien, und vertieft zu prüfen, ob diesen in Bulgarien - unter Berücksichtigung der konkreten Unterbringungsmodalitäten - angemessen entsprochen werden könne. Gegebenenfalls seien individuelle und konkrete Garantien von den bulgarischen Behörden einzuholen, um die Zulässigkeit des Wegweisungsvollzugs sicherzustellen (vgl. a.a.O., E. 7.4.2).</w:t>
      </w:r>
    </w:p>
    <w:p>
      <w:r>
        <w:rPr>
          <w:b/>
        </w:rPr>
        <w:t>E. 2.2.3</w:t>
      </w:r>
    </w:p>
    <w:p>
      <w:r>
        <w:t>Das Gericht geht in seiner Rechtsprechung trotz der immer noch bestehenden Belastung Bulgariens durch ukrainische Kriegsflüchtlinge weiterhin nicht von systemischen Mängeln im bulgarischen Asylverfahren aus (vgl. anstatt vieler Urteile des BVGer F-6287/2024 vom 11. November 2024 E. 7.4, F-6791/2025 vom 9. September 2025 E. 3 m.w.H.). Auch unter Berücksichtigung der allgemein gehaltenen Vorbringen des Beschwerdeführers auf Beschwerdeebene ist zum heutigen Zeitpunkt nicht davon auszugehen, das Land verstosse systematisch gegen seine vertraglichen Verpflichtungen als zuständiger Dublin-Mitgliedstaat im Falle einer Rücküberstellung von Asylsuchenden. Für eine Änderung der Rechtsprechung (zu den Voraussetzungen hierfür vgl. BGE 147 V 342 E. 5.5.1 m.w.H.) besteht nach dem Gesagten derzeit keine Veranlassung. Unter diesen Umständen ist die Anwendung von Art. 3 Abs. 2 Dublin-III-VO nicht gerechtfertigt.</w:t>
      </w:r>
    </w:p>
    <w:p>
      <w:r>
        <w:rPr>
          <w:b/>
        </w:rPr>
        <w:t>E. 2.2.4</w:t>
      </w:r>
    </w:p>
    <w:p>
      <w:r>
        <w:t>Die erstmalig auf Beschwerdeebene unsubstantiiert geltend gemachten und aufgrund der Akten nicht objektivierbaren psychischen Probleme des Beschwerdeführers führen sodann nicht zur Annahme, eine Rückweisung verstosse gegen Art. 3 EMRK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und sind auch nicht geeignet, eine besondere Vulnerabilität zu begründen, aufgrund derer das Einholen individueller Garantien der bulgarischen Behörden angezeigt wäre (vgl. Referenzurteil des BVGer F-7195/2018 vom 11. Februar 2020). Ebenso wenig geben die Beschwerde oder die weiteren Akten Anlass, die Sache zur näheren Abklärung einer allfälligen Vulnerabilität an die Vorinstanz zurückzuweisen (vgl. Urteil des BVGer F-7173/2024 vom 26. November 2024 E. 4.6) oder den Beschwerdeführer zur Edition der von ihm in Aussicht gestellten aber nicht eingereichten ärztlichen Bestätigung aufzufordern (vgl. vorne Bst. I).</w:t>
      </w:r>
    </w:p>
    <w:p>
      <w:r>
        <w:rPr>
          <w:b/>
        </w:rPr>
        <w:t>E. 2.2.5</w:t>
      </w:r>
    </w:p>
    <w:p>
      <w:r>
        <w:t>Das implizit geltend gemachte besondere Abhängigkeitsverhältnis im Sinne von Art. 16 Dublin-III-VO beziehungsweise der Rechtsprechung zu Art. 8 EMRK zwischen dem Beschwerdeführer und seinem in der Schweiz wohnhaften Bruder ist auch auf Beschwerdeebene unsubstantiiert und unbelegt geblieben und es sind auch in den Akten keine Hinweise auf ein solches ersichtlich. An dieser Beurteilung ändert auch die erstmalig mit Eingabe vom 18. September 2025 bei der Vorinstanz und erneut als Beilage der vorliegenden Beschwerde eingereichte Unterstützungserklärung seines Bruders vom 16. September 2025, wonach dieser bereit sei, den Beschwerdeführer bei seiner Integration in die Gesellschaft zu unterstützen, nichts.</w:t>
      </w:r>
    </w:p>
    <w:p>
      <w:r>
        <w:rPr>
          <w:b/>
        </w:rPr>
        <w:t>E. 3</w:t>
      </w:r>
    </w:p>
    <w:p>
      <w:r>
        <w:t>Aus den vorstehenden Erwägungen ergibt sich, dass die angefochtene Verfügung vom 18. Dezember 2025 nicht zu beanstanden und die Beschwerde vollumfänglich abzuweisen ist.</w:t>
      </w:r>
    </w:p>
    <w:p>
      <w:r>
        <w:rPr>
          <w:b/>
        </w:rPr>
        <w:t>E. 4</w:t>
      </w:r>
    </w:p>
    <w:p>
      <w:r>
        <w:t>Mit vorliegendem Urteil fällt der am 29. Dezember 2025 angeordnete Vollzugsstopp dahin.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