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F-9900/2025 vom 29. Dezember 2025</w:t>
      </w:r>
    </w:p>
    <w:p>
      <w:r>
        <w:t>Bundesverwaltungsgericht, 2025-12-29, FR</w:t>
      </w:r>
    </w:p>
    <w:p>
      <w:r>
        <w:rPr>
          <w:b/>
        </w:rPr>
        <w:t xml:space="preserve">Quelle: </w:t>
      </w:r>
      <w:r>
        <w:t>https://mcp.opencaselaw.ch/entscheid/bvger_F-9900_2025</w:t>
      </w:r>
    </w:p>
    <w:p>
      <w:r>
        <w:t>FR: TAF F-9900/2025 du 29 décembre 2025</w:t>
      </w:r>
    </w:p>
    <w:p>
      <w:r>
        <w:t>IT: TAF F-9900/2025 del 29 dicembre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L'intéressée a qualité pour recourir. Présenté dans la forme et le délai prescrits par la loi, le recours est recevable (art. 48 al. 1 et art. 52 al. 1 PA, applicables par renvoi de l'art. 37 LTAF et art. 108 al. 3 LAsi).</w:t>
      </w:r>
    </w:p>
    <w:p>
      <w:r>
        <w:rPr>
          <w:b/>
        </w:rPr>
        <w:t>E. 1.3</w:t>
      </w:r>
    </w:p>
    <w:p>
      <w:r>
        <w:t>Conformément à l'art. 33a al. 2 PA, dans la procédure de recours, la langue est celle de la décision attaquée. Si les parties utilisent une autre langue officielle, celle-ci peut être adoptée. En l'occurrence, la décision attaquée a été rédigée en français. C'est donc cette langue qui sera adoptée pour la procédure de recours.</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en examiner le bien-fondé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Dans une procédure de reprise en charge, telle qu'en l'espèce, il n'y a, en principe, aucun nouvel examen de la compétence selon ledit chapitre (cf. ATAF 2019 VI/7 consid. 6.4.1.3 ; 2017 VI/5 consid. 6.2, 6.3, 8.2.1 et 8.3).</w:t>
      </w:r>
    </w:p>
    <w:p>
      <w:r>
        <w:rPr>
          <w:b/>
        </w:rPr>
        <w:t>E. 2.3</w:t>
      </w:r>
    </w:p>
    <w:p>
      <w:r>
        <w:t>En l'occurrence, à la suite de la requête soumise par le SEM dans le délai prévu à l'art. 23 par. 2 RD III, les autorités autrichiennes compétentes ont expressément accepté de reprendre en charge l'intéressée dans le délai fixé à l'art. 25 par. 1 RD III. Ainsi, l'Autriche a reconnu sa compétence pour traiter la demande d'asile de la recourante. En tant que telle, cette compétence n'est du reste pas contestée.</w:t>
      </w:r>
    </w:p>
    <w:p>
      <w:r>
        <w:rPr>
          <w:b/>
        </w:rPr>
        <w:t>E. 3.1</w:t>
      </w:r>
    </w:p>
    <w:p>
      <w:r>
        <w:t>Conformément à une jurisprudence constante et régulièrement actualisée, il n'y a aucune raison de penser qu'il existe en Autriche des défaillances systémiques au sens de l'art. 3 par. 2 RD III, qui entraîneraient un risque de traitement inhumain ou dégradant au sens de l'art. 4 de la Charte des droits fondamentaux de l'Union européenne (JO C 364/1 du 18.12.2000, ci-après : Charte UE ; cf. arrêt du TAF F-8562/2025 du 12 novembre 2025 consid. 2.1). Partant, le respect par l'Autriche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3.2</w:t>
      </w:r>
    </w:p>
    <w:p>
      <w:r>
        <w:t>Si cette présomption peut être renversée par des indices sérieux que les autorités ne respecteraient pas le droit international (cf. ATAF 2017 VI/7 consid. 6.1 et 2010/45 consid. 7.4 et 7.5 ; arrêt du TAF F-9258/2025 du 5 décembre 2025 consid. 11.3), la recourante n'a pas soutenu que tel serait le cas en l'espèce.</w:t>
      </w:r>
    </w:p>
    <w:p>
      <w:r>
        <w:rPr>
          <w:b/>
        </w:rPr>
        <w:t>E. 3.3</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[GC], § 59 et § 62 ; ATAF 2017 VI/5 consid. 8.2.1). Dans ces conditions, l'application de l'art. 3 par. 2 2ème phrase du règlement Dublin III ne se justifie pas en l'espèce.</w:t>
      </w:r>
    </w:p>
    <w:p>
      <w:r>
        <w:rPr>
          <w:b/>
        </w:rPr>
        <w:t>E. 4</w:t>
      </w:r>
    </w:p>
    <w:p>
      <w:r>
        <w:t>La recourante a soutenu se trouver dans un état de santé fragile et disposer en Suisse d'un réseau en mesure de la soutenir.</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4.2</w:t>
      </w:r>
    </w:p>
    <w:p>
      <w:r>
        <w:t>En l'espèce, les seuls rapports médicaux présents au dossier font état d'une exacerbation asthmatique dans un contexte de bronchite. Il apparaît toutefois que le traitement mis en place fonctionne et que l'état de santé de l'intéressée connaît une nette amélioration. S'agissant des troubles psychiques invoqués au stade du recours (tentatives de suicide antérieures, état dépressif), force est de constater qu'ils demeurent au stade de l'allégation, l'intéressée n'ayant produit aucun document susceptible de soutenir ses affirmations. Par ailleurs, rien n'incite à penser qu'en cas de transfert, elle risquerait d'être exposée à un déclin grave, rapide et irréversible de son état de santé, quand bien même son état psychique connaîtrait une dégradation importante. Elle n'est pas atteinte d'une maladie d'une gravité ou d'une spécificité telle qu'elle ne pourrait pas être traitée en Autriche, Etat qui dispose de structures médicales équivalentes à la Suisse (cf. arrêt du TAF F-7813/2024 du 23 septembre 2025 consid. 10.4). Enfin, force est de constater que l'intéressée s'est contentée d'affirmer disposer d'un réseau de soutien en Suisse, sans pour autant détailler celui-ci d'une quelconque manière, ni expliquer en quoi il ne lui serait pas possible de se constituer un nouveau réseau en Autriche.</w:t>
      </w:r>
    </w:p>
    <w:p>
      <w:r>
        <w:rPr>
          <w:b/>
        </w:rPr>
        <w:t>E. 4.3</w:t>
      </w:r>
    </w:p>
    <w:p>
      <w:r>
        <w:t>Par conséquent, il y a lieu de retenir que les problèmes de santé dont l'intéressée est atteinte ne sauraient faire obstacle à l'exécution de son transfert vers l'Autriche.</w:t>
      </w:r>
    </w:p>
    <w:p>
      <w:r>
        <w:rPr>
          <w:b/>
        </w:rPr>
        <w:t>E. 4.4</w:t>
      </w:r>
    </w:p>
    <w:p>
      <w:r>
        <w:t>Quoi qu'il en soit, si après son retour dans ce pays, l'intéressée devait être contrainte par les circonstances à mener une existence non conforme à la dignité humaine, ou si l'Autriche devait violer ses obligations d'assistance, ou de toute autre manière porter atteinte à ses droits fondamentaux, il appartiendrait à la requérante, le cas échéant, de faire valoir ses droits directement auprès des autorités compétentes, en usant des voies de droit idoines (cf. art. 26 de la directive n° 2013/33/UE du Parlement européen et du Conseil du 26 juin 2013 établissant des normes pour l'accueil des personnes demandant la protection internationale).</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la recourante de voir sa procédure d'asile menée par la Suisse.</w:t>
      </w:r>
    </w:p>
    <w:p>
      <w:r>
        <w:rPr>
          <w:b/>
        </w:rPr>
        <w:t>E. 6.1</w:t>
      </w:r>
    </w:p>
    <w:p>
      <w:r>
        <w:t>Au regard de l'ensemble des éléments qui précèdent, c'est à bon droit que le SEM n'est pas entré en matière sur la demande d'asile de l'intéressée, en application de l'art. 31a al. 1 let. b LAsi, et qu'il a prononcé son transfert vers l'Autriche conformément à l'art. 44 1ère phr. LAsi, étant précisé qu'aucune exception à la règle générale du renvoi n'est réalisée (cf. art. 32 OA 1). Au vu de ce qui précède, le recours doit être rejeté.</w:t>
      </w:r>
    </w:p>
    <w:p>
      <w:r>
        <w:rPr>
          <w:b/>
        </w:rPr>
        <w:t>E. 6.2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Le litige prenant fin, les mesures superprovisionnelles prononcées le 23 décembre 2025 sont caduques.</w:t>
      </w:r>
    </w:p>
    <w:p>
      <w:r>
        <w:rPr>
          <w:b/>
        </w:rPr>
        <w:t>E. 6.3</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