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F-9886/2025 vom 6. Januar 2026</w:t>
      </w:r>
    </w:p>
    <w:p>
      <w:r>
        <w:t>Bundesverwaltungsgericht, 2026-01-06, DE</w:t>
      </w:r>
    </w:p>
    <w:p>
      <w:r>
        <w:rPr>
          <w:b/>
        </w:rPr>
        <w:t xml:space="preserve">Quelle: </w:t>
      </w:r>
      <w:r>
        <w:t>https://mcp.opencaselaw.ch/entscheid/bvger_F-9886_2025</w:t>
      </w:r>
    </w:p>
    <w:p>
      <w:r>
        <w:t>FR: TAF F-9886/2025 du 6 janvier 2026</w:t>
      </w:r>
    </w:p>
    <w:p>
      <w:r>
        <w:t>IT: TAF F-9886/2025 del 6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erwog korrekt, dass gemäss Art. 20 Abs. 5 Dublin-III-VO grundsätzlich Kroatien für das Asylverfahren der Beschwerdeführenden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Dabei hat sie das Vorbringen der Beschwerdeführerin, sie sei in Kroatien nicht gut und ihre Kinder seien grausam behandelt worden, berücksichtigt und korrekt erwogen, dass sie sich an die zuständigen staatlichen Stellen wenden könne, sollte sie sich rechtswidrig behandelt fühlen. Die von der Beschwerdeführerin geltend gemachten gesundheitlichen Beschwerden (Beschwerdeführerin: niedriger Blutdruck und Gewichtsabnahme; Kinder: Fieber und Angstzustände und gemäss den Akten Husten) hat die Vorinstanz rechtsprechungskonform gewürdigt und festgehalten, Kroatien verfüge über eine ausreichende medizinische Infrastruktur und sei gemäss Richtlinie 2013/33/EU des Europäischen Parlaments und des Rates vom 26. Juni 2013 zur Festlegung von Normen für die Aufnahme von Personen, die internationalen Schutz beantragen (Aufnahmerichtlinie) verpflichtet, ihnen die erforderliche medizinische Versorgung zu gewähren.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Beschwerdeführenden nicht eingetreten und hat in Anwendung von Art. 44 AsylG ihre Wegweisung nach Kroatien angeordnet. Zur näheren Begründung wird auf die Erwägungen der Vorinstanz verwiesen.</w:t>
      </w:r>
    </w:p>
    <w:p>
      <w:r>
        <w:rPr>
          <w:b/>
        </w:rPr>
        <w:t>E. 2.2</w:t>
      </w:r>
    </w:p>
    <w:p>
      <w:r>
        <w:t>Was die Beschwerdeführerin auf Rechtsmittelebene vorbringt, vermag an der Richtigkeit der angefochtenen Verfügung nichts zu ändern. In Bezug auf ihren Einwand, die Vorinstanz habe den medizinischen Sachverhalt nicht genügend abgeklärt, ist darauf hinzuweisen, dass die in den Akten erwähnten gesundheitlichen Beschwerden (Mutter: niedriger Blutdruck und Gewichtsabnahme; Kinder: Fieber, Husten und Angstzustände) nicht von einer Schwere sind, die weitere Abklärungen durch die Vorinstanz erforderlich gemacht hätten. Die Beschwerdeführerin moniert ferner, die Vorinstanz hätte prüfen müssen, ob sie im Falle der Überstellung nach Kroatien Zugang zu stabiler Unterbringung, medizinischer Versorgung, altersgerechter Betreuung und schulischer Integration erhalten würden. Die Vorinstanz hielt in diesem Zusammenhang fest, dass Kroatien die Aufnahmerichtlinie, welche die obengenannten Fragen regelt, ohne Beanstandungen von Seiten der Europäischen Kommission umgesetzt habe. Eine Verletzung des Untersuchungsgrundsatzes liegt somit nicht vor. Die Rüge, wonach die Vorinstanz ihre Begründungspflicht verletzt habe, indem sie keine Gesamtwürdigung unter Berücksichtigung der individuellen Umstände der Beschwerdeführenden vorgenommen habe, erweist sich als unbegründet. Die Vorinstanz setzte sich mit allen relevanten Sachverhaltselementen auseinander (insb. der individuellen Situation der Beschwerdeführenden, dem Zugang zum Asylverfahren, der Problematik von Push-Backs, dem kroatischen Aufnahmesystem und der medizinischen Versorgung). Entsprechend liegt auch keine Ermessensunterschreitung vor (vgl. E. 2.1). Der Eventualantrag auf Rückweisung der Sache an die Vorinstanz zwecks Neubeurteilung ist vor diesem Hintergrund abzuweisen. In Bezug auf das sinngemässe Vorbringen, das kroatische Asylsystem weise systemische Mängel auf, und die damit zusammenhängende Rüge der willkürlichen Beweiswürdigung ist auf die vorangehende Erwägung und die zitierte Rechtsprechung zu verweisen. Insbesondere besteht keine beachtliche Wahrscheinlichkeit einer Verletzung der aus dem Refoulement-Verbot fliessenden Rechte der Asylsuchenden. Kroatien ist Signatarstaat der EMRK und des Übereinkommens vom 10. Dezember 1984 gegen Folter und andere grausame, unmenschliche oder erniedrigende Behandlung oder Strafe (FoK, SR 0.105) und hat die entsprechenden völkerrechtlichen Verpflichtungen zu beachten. Die Beschwerdeführerin hat auch kein konkretes und ernsthaftes Risiko dargetan, die sie und ihre Kinder bei einer Rückführung erwartenden Bedingungen seien derart schlecht, dass sie zu einer Verletzung von Art. 4 der EU-Grundrechtecharta, Art. 3 EMRK oder Art. 3 FoK führen könnten oder dass Kroatien ihnen die ihnen gemäss der Aufnahmerichtlinie zustehenden minimalen Lebensbedingungen vorenthalten würde. Bei einer allfälligen vorübergehenden Einschränkung könnten sie sich im Übrigen nötigenfalls an die Behörden wenden und die ihm zustehenden Aufnahmebedingungen auf dem Rechtsweg einfordern (vgl. Art. 26 Aufnahmerichtlinie). Das Kindeswohl steht einer Überstellung der Beschwerdeführenden ebenfalls nicht entgegen. Es liegen keine erhärteten Hinweise dafür vor, dass sich Kroatien als Signatarstaat des Übereinkommens vom 20. November 1989 über die Rechte des Kindes (KRK, SR 0.107) nicht an seine entsprechenden völkerrechtlichen Verpflichtungen halten würde. In Übereinstimmung mit der aktuellen Rechtsprechung ist zudem davon auszugehen, dass die Beschwerdeführenden Zugang zu adäquater Unterbringung und Unterstützung erhalten werden (vgl. Urteil des BVGer F-7672/2024 vom 13. Dezember 2024 E. 5.2).</w:t>
      </w:r>
    </w:p>
    <w:p>
      <w:r>
        <w:rPr>
          <w:b/>
        </w:rPr>
        <w:t>E. 3</w:t>
      </w:r>
    </w:p>
    <w:p>
      <w:r>
        <w:t>Nach dem Gesagten ist die angefochtene Verfügung vom 17. Dezember 2025 nicht zu beanstanden und die Beschwerde ist abzuweisen.</w:t>
      </w:r>
    </w:p>
    <w:p>
      <w:r>
        <w:rPr>
          <w:b/>
        </w:rPr>
        <w:t>E. 4</w:t>
      </w:r>
    </w:p>
    <w:p>
      <w:r>
        <w:t>Mit vorliegendem Urteil fällt der am 22. Dezember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