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F-9813/2025 vom 5. Januar 2026</w:t>
      </w:r>
    </w:p>
    <w:p>
      <w:r>
        <w:t>Bundesverwaltungsgericht, 2026-01-05, DE</w:t>
      </w:r>
    </w:p>
    <w:p>
      <w:r>
        <w:rPr>
          <w:b/>
        </w:rPr>
        <w:t xml:space="preserve">Quelle: </w:t>
      </w:r>
      <w:r>
        <w:t>https://mcp.opencaselaw.ch/entscheid/bvger_F-9813_2025</w:t>
      </w:r>
    </w:p>
    <w:p>
      <w:r>
        <w:t>FR: TAF F-9813/2025 du 5 janvier 2026</w:t>
      </w:r>
    </w:p>
    <w:p>
      <w:r>
        <w:t>IT: TAF F-9813/2025 del 5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1.3</w:t>
      </w:r>
    </w:p>
    <w:p>
      <w:r>
        <w:t>Auf die Beschwerde ist einzutreten, soweit damit die Aufhebung der angefochtenen Verfügung beantragt wird. Die übrigen Rechtsbegehren des Beschwerdeführers zielen auf die Anerkennung der Flüchtlingseigenschaft beziehungsweise die Gewährung von Asyl, subsidiär auf die Gewährung der vorläufigen Aufnahme ab. Diese Rechtsbegehren befinden sich ausserhalb des Anfechtungsgegenstands und sind folglich unzulässig. Auf sie ist nicht einzutreten. Der Beschwerdeführer handelte jedoch ohne Rechtsvertretung und aus der Begründung geht hervor, dass er sich der Überstellung nach Deutschland widersetzen wollte. Dabei handelt es sich im vorliegenden Kontext eines Nichteintretens- und Wegweisungsentscheids (Dublin) um ein zulässiges Rechtsbegehren, weshalb auf die Beschwerde insofern einzutreten ist.</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seine Rückkehr nach Deutschland (bereits durchlaufenes Asylverfahren, [Zwangs-] Ausweisung in sein Heimatland, Rassismus) und seinen Gesundheitszustand (psychische Beschwerden, Ohrenschmerzen, Zahnschmerzen, Atemwegsinfekt) berücksichtigt und rechtsprechungskonform gewürdigt. Darüber hinaus hat sie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an der Richtigkeit der angefochtenen Verfügung nichts zu ändern, zumal die Begehren nur rudimentär begründet werden. Hinsichtlich seiner erfolglosen freiwilligen Ausreise nach Deutschland ist festzuhalten, dass es dem Beschwerdeführer nicht erlaubt ist, seiner Pflicht zur Ausreise selbständig nachzukommen. Er ist verpflichtet, die Schweiz nach Ablauf der Beschwerdefrist zu verlassen. Dabei muss er sich jedoch an die Anweisungen der Migrationsbehörden halten (vgl. Urteil des BVGer D-4000/2021 vom 29. Juni 2022 E. 10).</w:t>
      </w:r>
    </w:p>
    <w:p>
      <w:r>
        <w:rPr>
          <w:b/>
        </w:rPr>
        <w:t>E. 3</w:t>
      </w:r>
    </w:p>
    <w:p>
      <w:r>
        <w:t>Nach dem Gesagten ist die angefochtene Verfügung nicht zu beanstanden und die Beschwerde ist abzuweisen, soweit darauf einzutreten ist.</w:t>
      </w:r>
    </w:p>
    <w:p>
      <w:r>
        <w:rPr>
          <w:b/>
        </w:rPr>
        <w:t>E. 4.1</w:t>
      </w:r>
    </w:p>
    <w:p>
      <w:r>
        <w:t>Mit vorliegendem Urteil fällt der am 19. Dezember 2025 angeordnete Vollzugsstopp dahin und das Gesuch um Erteilung der aufschiebenden Wirkung wird gegenstandslos.</w:t>
      </w:r>
    </w:p>
    <w:p>
      <w:r>
        <w:rPr>
          <w:b/>
        </w:rPr>
        <w:t>E. 4.2</w:t>
      </w:r>
    </w:p>
    <w:p>
      <w:r>
        <w:t>Die Rechtsbegehren erweisen sich als aussichtslos, weshalb das Gesuch um unentgeltliche Rechtspflege abzuweisen ist.</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