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F-9770/2025 vom 7. Januar 2026</w:t>
      </w:r>
    </w:p>
    <w:p>
      <w:r>
        <w:t>Bundesverwaltungsgericht, 2026-01-07, DE</w:t>
      </w:r>
    </w:p>
    <w:p>
      <w:r>
        <w:rPr>
          <w:b/>
        </w:rPr>
        <w:t xml:space="preserve">Quelle: </w:t>
      </w:r>
      <w:r>
        <w:t>https://mcp.opencaselaw.ch/entscheid/bvger_F-9770_2025</w:t>
      </w:r>
    </w:p>
    <w:p>
      <w:r>
        <w:t>FR: TAF F-9770/2025 du 7 janvier 2026</w:t>
      </w:r>
    </w:p>
    <w:p>
      <w:r>
        <w:t>IT: TAF F-9770/2025 del 7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 unter Vorbehalt von E. 1.2 - einzutreten ist (Art. 48 Abs. 1 VwVG, Art. 108 Abs. 3 AsylG und Art. 52 Abs. 1 VwVG).</w:t>
      </w:r>
    </w:p>
    <w:p>
      <w:r>
        <w:rPr>
          <w:b/>
        </w:rPr>
        <w:t>E. 1.2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betroffenen Personen infolgedessen aus der Schweiz weggewiesen hat (vgl. BVGE 2017 VI/5 E. 3.1; 2012/4 E. 2.2; je m.w.H.). Soweit der Beschwerdeführer die Eintragung auf die Warteliste für eine Nierentransplantation in Frankreich, eine Unterkunft ausserhalb eines Asylzentrums, finanzielle Unterstützung zur Deckung grundlegender Bedürfnisse, die Möglichkeit zur Arbeitsaufnahme nach gesundheitlicher Stabilisierung und die Möglichkeit zur Familienzusammenführung oder zu Besuchen begehrt, nimmt er eine unzulässige Erweiterung des Streitgegenstands vor (BVGE 2011/9 E. 5). Auf die Beschwerde ist insoweit nicht einzutreten.</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2 Dublin-III-VO infolge gültigen Visums grundsätzlich Frankreich für die Behandlung des Asylgesuchs des Beschwerdeführers zuständig ist, dass das französische Asylsystem rechtsprechungsgemäss keine systemischen Schwachstellen aufweist, aufgrund derer die Zuständigkeit gemäss Art. 3 Abs. 2 Dublin-III-VO auf die Schweiz überginge (vgl. jüngst statt vieler Urteile des BVGer F-9548/2025 vom 15. Dezember 2025 E. 4.1 und F-9326/2025 vom 12. Dezember 2025 E. 2.1),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Frankreich angeordnet. Zur näheren Begründung wird auf die Erwägungen der Vorinstanz verwiesen.</w:t>
      </w:r>
    </w:p>
    <w:p>
      <w:r>
        <w:rPr>
          <w:b/>
        </w:rPr>
        <w:t>E. 2.2</w:t>
      </w:r>
    </w:p>
    <w:p>
      <w:r>
        <w:t>Der Beschwerdeführer macht betreffend seinen Gesundheitszustand geltend, dass er aufgrund einer Nierenerkrankung auf eine Nierentransplantation angewiesen sei und sich dreimal pro Woche einer Dialyse unterziehen müsse. Weiter leide er an Diabetes mellitus und arterieller Hypertonie, habe Herzbeschwerden mit Atemnot und Katarakt (grauer Star) am linken Auge, weswegen eine Operation im Januar 2026 geplant sei. Das Schengenvisum habe er sich ausstellen lassen, weil er sich in der Schweiz medizinisch behandeln lassen wolle. In den Akten finden sich diverse medizinische Unterlagen, welche die geltend gemachten körperlichen Beschwerden belegen. So ist dem aktuellsten ärztlichen Kurzbericht (...) vom 1. Dezember 2025 zu entnehmen, dass beim Beschwerdeführer unter anderem Katarakt, Pneumonie durch Bakterien, eine dialysepflichtige Nierenerkrankung im Stadium 5, eine hypertensive Herzkrankheit, Diabetes mellitus sowie Malaria tropica diagnostiziert wurden. Ihm wurden diverse Medikamente verschrieben und es wurde Physiotherapie verordnet. Gemäss dem ambulanten Bericht (...) vom 15. Dezember 2025 ist beim Beschwerdeführer weiterhin darauf zu achten, dass dreimal pro Woche eine Dialyse durchgeführt werden kann. Nichts anderes ergibt sich aus dem nachgereichten ärztlichen Schreiben vom 23. Dezember 2025. Dass in der Schweiz weitere Termine - insbesondere ein Termin für eine Augenoperation - geplant sind, ist aus den Akten nicht ersichtlich.</w:t>
      </w:r>
    </w:p>
    <w:p>
      <w:r>
        <w:rPr>
          <w:b/>
        </w:rPr>
        <w:t>E. 2.3</w:t>
      </w:r>
    </w:p>
    <w:p>
      <w:r>
        <w:t>Insgesamt vermögen die Vorbringen des Beschwerdeführers nichts an der Richtigkeit der angefochtenen Verfügung zu ändern. Die Vorinstanz hat in den Überstellungsmodalitäten festgehalten, dass es sich vorliegend um einen Medizinalfall handelt und hat sämtliche medizinischen Leiden des Beschwerdeführers rechtsprechungsgemäss berücksichtigt. Zudem ist darauf hinzuweisen, dass Frankreich über eine fortschrittliche medizinische Infrastruktur verfügt und gemäss Art. 19 Abs. 1 und 2 der Richtlinie des Europäischen Parlaments und des Rates 2013/33/EU vom 26. Juni 2013 zur Festlegung von Normen für die Aufnahme von Personen, die internationalen Schutz beantragen (Aufnahmerichtlinie) verpflichtet ist, dem Beschwerdeführer bei Bedarf die erforderliche medizinische Behandlung seiner gesundheitlichen Probleme zukommen zu lassen (vgl. statt vieler jüngst Urteil F-9548/2025 E. 4.2). Sämtliche notwendigen medizinischen Behandlungen - insbesondere auch die Dialyse, welche der Beschwerdeführer bereits nach seiner Einreise in den Schengenraum am 21. September 2025 in Frankreich durchführen liess - können ohne Probleme auch in Frankreich erfolgen. Demnach muss bei einer Überstellung nach Frankreich nicht mit dem realen Risiko einer ernsten, raschen und unwiederbringlichen Verschlechterung des Gesundheitszustands des Beschwerdeführers gerechnet werden, die zu intensivem Leiden oder einer erheblichen Verkürzung seiner Lebenserwartung führen würde. Folglich ist die hohe Schwelle einer bei Überstellung real drohenden Verletzung von Art. 3 EMRK vorliegend nicht erreicht (vgl. Urteile des EGMR Paposhvili gegen Belgien vom 13. Dezember 2016, Grosse Kammer, 41738/10, §§ 180-193, bestätigt durch Savran gegen Dänemark vom 7. Dezember 2021, Grosse Kammer, 57467/15, §§ 121 ff.). Die Dublin-III-VO räumt den Antragstellenden schliesslich kein Recht ein, den für eine medizinische Behandlung bestgeeignetsten Staat selbst frei zu wählen (vgl. BVGE 2017 VI/7 E. 6.2; Urteil des BVGer F-4406/2024 vom 18. Juli 2024 E. 6.9 m.w.H.).</w:t>
      </w:r>
    </w:p>
    <w:p>
      <w:r>
        <w:rPr>
          <w:b/>
        </w:rPr>
        <w:t>E. 2.4</w:t>
      </w:r>
    </w:p>
    <w:p>
      <w:r>
        <w:t>In Anbetracht des Gesundheitszustands des Beschwerdeführers ist festzuhalten, dass die mit dem Vollzug der angefochtenen Verfügung beauftragten schweizerischen Behörden den medizinischen Umständen bei der Bestimmung der konkreten Modalitäten seiner Überstellung Rechnung zu tragen und ihm allfällig notwendige Medikamente mitzugeben haben. Die französischen Behörden sind vorgängig in geeigneter Weise über seine spezifischen medizinischen Umstände - insbesondere über die Notwendigkeit der regelmässigen Dialyse - zu informieren (vgl. Art. 31 Dublin-III-VO).</w:t>
      </w:r>
    </w:p>
    <w:p>
      <w:r>
        <w:rPr>
          <w:b/>
        </w:rPr>
        <w:t>E. 3</w:t>
      </w:r>
    </w:p>
    <w:p>
      <w:r>
        <w:t>Soweit der Beschwerdeführer geltend macht, die Vorinstanz habe den rechtserheblichen Sachverhalt nicht korrekt festgestellt, ist darauf hinzuweisen, dass sich die Vorinstanz in der angefochtenen Verfügung rechtsgenüglich mit den Umständen in Frankreich auseinandergesetzt und angesichts der zahlreich vorliegenden medizinischen Akten auch den medizinischen Sachverhalt richtigerweise als genügend abgeklärt erachtet hat. Es ist weder dargetan noch ersichtlich, inwiefern weitere Abklärungen hätten vorgenommen werden müssen. Der Eventualantrag auf Rückweisung der Sache an die Vorinstanz ist abzuweisen.</w:t>
      </w:r>
    </w:p>
    <w:p>
      <w:r>
        <w:rPr>
          <w:b/>
        </w:rPr>
        <w:t>E. 4</w:t>
      </w:r>
    </w:p>
    <w:p>
      <w:r>
        <w:t>Nach dem Gesagten ist die angefochtene Verfügung nicht zu beanstanden (Art. 106 AsylG) und die Beschwerde ist abzuweisen, soweit darauf einzutreten ist (s. E. 1.2 hiervor). Mit dem vorliegenden Urteil fällt der am 18. Dezember 2025 angeordnete Vollzugsstopp dahin. Das Gesuch um Gewährung der aufschiebenden Wirkung der Beschwerde ist mit heutigem Entscheid gegenstandslos geworden.</w:t>
      </w:r>
    </w:p>
    <w:p>
      <w:r>
        <w:rPr>
          <w:b/>
        </w:rPr>
        <w:t>E. 5</w:t>
      </w:r>
    </w:p>
    <w:p>
      <w:r>
        <w:t>Die Begehren erweisen sich als von vornherein aussichtslos, weshalb die Gesuche um unentgeltliche Prozessführung (Art. 65 Abs. 1 VwVG) und Verbeiständung (Art. 102m Abs. 2 AsylG i.V.m. Art. 65 Abs. 2 VwVG) abzuweisen sind.</w:t>
      </w:r>
    </w:p>
    <w:p>
      <w:r>
        <w:rPr>
          <w:b/>
        </w:rPr>
        <w:t>E. 6</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