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F-957/2020 vom 21. April 2021</w:t>
      </w:r>
    </w:p>
    <w:p>
      <w:r>
        <w:t>Bundesverwaltungsgericht, 2021-04-21, IT</w:t>
      </w:r>
    </w:p>
    <w:p>
      <w:r>
        <w:rPr>
          <w:b/>
        </w:rPr>
        <w:t xml:space="preserve">Quelle: </w:t>
      </w:r>
      <w:r>
        <w:t>https://mcp.opencaselaw.ch/entscheid/bvger_F-957_2020</w:t>
      </w:r>
    </w:p>
    <w:p>
      <w:r>
        <w:t>FR: TAF F-957/2020 du 21 avril 2021</w:t>
      </w:r>
    </w:p>
    <w:p>
      <w:r>
        <w:t>IT: TAF F-957/2020 del 21 aprile 2021</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 divieti d'entrata del 25 ottobre 2019, che non rientrano peraltro nell'elenco dell'art. 32 LTAF, costituiscono delle decisioni ai sensi dell'art. 5 cpv. 1 PA, dimodoché questo Tribunale è competente a giudicare i presenti ricorsi. Dato che la procedura verte su decisioni in materia di diritto degli stranieri concernenti l'entrata in Svizzera di persone non cittadini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 ricorrenti, che sono i destinatari delle decisioni impugnate, hanno presentato i loro ricorsi tempestivamente e nel rispetto dei requisiti previsti dalla legge, versando puntualmente l'anticipo equivalente alle presunte spese processuali. Ne discende che i ricorsi sono ammissibili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la situazione fattuale al momento del giudizio (cfr. DTAF 2014/1 consid. 2), ciò che implica che questo Tribunale deve tenere conto anche dei fatti rilevanti intervenuti dopo la decisione impugnata, i cosiddetti "nova" (cfr. Benjamin Schindler, in: Christoph Auer/Markus Müller/Benjamin Schindler [editori], Bundesgesetz über das Verwaltungsverfahren - Kommentar, 2a ed., 2019, n. 31 ad art. 49 PA; cfr. anche, tra le altre, la sentenza TAF F-6368/2019 del 26 ottobre 2020 consid. 5.5 con i rinvii). Questo Tribunale è, in linea di massima, vincolato dalle conclusioni delle parti (principio dispositivo), salvo che, nell'ambito dell'oggetto del litigio, siano soddisfatte le condizioni per concedere di più ("reformatio in melius") o di meno ("reformatio in peius") rispetto a quanto richiesto (art. 62 cpv. 1 a 3 PA: massima dell'ufficialità; cfr. Madeleine Camprubi, in: Auer/Müller/Schindler, op. cit., n. 8 ad art. 62 PA). Questo Tribunale non è invece vincolato, in nessun caso, dai motivi del ricorso (art. 62 cpv. 4 PA: principio dell'applicazione d'ufficio del diritto).</w:t>
      </w:r>
    </w:p>
    <w:p>
      <w:r>
        <w:rPr>
          <w:b/>
        </w:rPr>
        <w:t>E. 3</w:t>
      </w:r>
    </w:p>
    <w:p>
      <w:r>
        <w:t>I presenti litigi vertono sulle decisioni del 25 ottobre 2019, con cui la SEM ha adottato dei divieti d'entrata in Svizzera e nel Liechtenstein di tre anni (25.10.2019 - 24.10.2022), segnalandoli nel SIS II, nei confronti dei ricorrenti, i quali ne contestano sia la fondatezza che la segnalazione nel SIS II. A scanso di equivoci occorre puntualizzare che le cause non concernono invece l'allontanamento dei ricorrenti dalla Svizzera (cfr. consid. C a I), la cui esecuzione è stata reputata possibile, ammissibile e ragionevolmente esigibile da questo Tribunale mediante sentenza definitiva (cfr. la sentenza TAF D-4238/2017 del 12 aprile 2019 consid. 8).</w:t>
      </w:r>
    </w:p>
    <w:p>
      <w:r>
        <w:rPr>
          <w:b/>
        </w:rPr>
        <w:t>E. 4.1</w:t>
      </w:r>
    </w:p>
    <w:p>
      <w:r>
        <w:t>In generale, la procedura relativa all'entrata in Svizzera e alla partenza dalla Svizzera è retta dalla legge federale sugli stranieri del 16 dicembre 2005 (LStr, RU 2007 5437), ridenominata legge federale sugli stranieri e la loro integrazione con effetto dal 1° gennaio 2019 (LStrI, RS 142.20), nonché dall'ordinanza sull'ammissione, il soggiorno e l'attività lucrativa del 24 ottobre 2007 (OASA, RS 142.201), pure modificata con effetto dal 1° gennaio 2019 (in particolare, l'art. 80 OASA [violazione della sicurezza e dell'ordine pubblici] è stato abrogato [RU 2018 3173]), e dall'ordinanza concernente l'entrata e il rilascio del visto del 15 agosto 2018 (OEV, RS 142.204). 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all'OASA e all'OEV (cfr. artt. 2 cpv. 4 LStrl, 1 cpv. 1 OASA, 1 cpv. 2 OEV e 2 AAS; cfr. anche la sentenza TAF F-190/2017 del 9 ottobre 2018 consid. 3). Si osservi che, dal giugno 2017, i cittadini dell'Ucraina, sono, a condizione che siano provvisti di un passaporto biometrico, "esenti dall'obbligo del visto all'atto dell'attraversamento delle frontiere esterne degli Stati membri per soggiorni la cui durata globale non sia superiore a 90 giorni su un periodo di 180 giorni" (cfr. l'allegato II del regolamento UE 2018/1806 del Parlamento europeo e del Consiglio del 14 novembre 2018 [Gazzetta ufficiale/GU L 303/39 del 28 novembre 2018], in vigore dal 18 dicembre 2018, che ha abrogato il regolamento CE n. 539/2001 del Consiglio del 15 marzo 2001, più volte emendato, adottante l'elenco dei paesi terzi i cui cittadini devono essere in possesso del visto all'atto dell'attraversamento delle frontiere esterne e l'elenco dei paesi terzi i cui cittadini sono esenti da tale obbligo [GU L 81/1 del 21 marzo 2001]).</w:t>
      </w:r>
    </w:p>
    <w:p>
      <w:r>
        <w:rPr>
          <w:b/>
        </w:rPr>
        <w:t>E. 4.2</w:t>
      </w:r>
    </w:p>
    <w:p>
      <w:r>
        <w:t>La SEM vieta l'entrata in Svizzera ad uno straniero allontanato se egli non ha lasciato la Svizzera entro il termine impartitogli (art. 67 cpv. 1 lett. b LStrI). La SEM può, per motivi umanitari o per altri motivi gravi, rinunciare eccezionalmente a pronunciare un divieto d'entrata oppure sospenderlo definitivamente o temporaneamente; a tale proposito occorre considerare segnatamente i motivi che hanno portato al divieto d'entrata nonché la protezione della sicurezza e dell'ordine pubblici e la salvaguardia della sicurezza interna ed esterna della Svizzera e ponderarli con gli interessi privati dell'interessato a una decisione di sospensione (art. 67 cpv. 5 LStrI). Importa sottolineare che l'art. 67 cpv. 1 lett. b e cpv. 5 LStrI è il risultato del recepimento della Svizzera della direttiva 2008/115/CE del Parlamento europeo e del Consiglio del 16 dicembre 2008 (direttiva sul rimpatrio [GU L 348/98]), il cui art. 11 § 1 prevede che "le decisioni di rimpatrio sono corredate di un divieto d'ingresso: a) qualora non sia stato concesso un periodo per la partenza volontaria, oppure b) qualora non sia stato ottemperato all'obbligo di rimpatrio. In altri casi le decisioni di rimpatrio possono essere corredate di un divieto d'entrata", mentre il § 5 afferma che "in casi individuali gli Stati membri possono astenersi per motivi umanitari dall'emettere, revocare o sospendere un divieto d'ingresso". In altre parole, nel caso di stranieri allontanati, la pronuncia di un divieto d'entrata non può essere che difficilmente elusa, salvo che sussistano motivi umanitari o altri gravi motivi. In questo senso, il potere decisionale della SEM ("Entschliessungsermessen") è fortemente ridotto (cfr. la sentenza TAF F-458/2019 del 29 novembre 2019 consid. 5.2 con i riferimenti). D'altro canto, la SEM può vietare l'entrata in Svizzera allo straniero che ha violato o espone a pericolo l'ordine e la sicurezza pubblici in Svizzera o all'estero (art. 67 cpv. 2 lett. a LStrI).</w:t>
      </w:r>
    </w:p>
    <w:p>
      <w:r>
        <w:rPr>
          <w:b/>
        </w:rPr>
        <w:t>E. 4.3</w:t>
      </w:r>
    </w:p>
    <w:p>
      <w:r>
        <w:t>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LStr, pag. 3428).</w:t>
      </w:r>
    </w:p>
    <w:p>
      <w:r>
        <w:rPr>
          <w:b/>
        </w:rPr>
        <w:t>E. 4.4</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dell'art. 11 § 2 della direttiva sul rimpatrio, il quale prevede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la nota a piè di pagina dell'art. 67 LStrI; cfr. anche DTF 139 II 121 consid. 5.1 e 6.3).</w:t>
      </w:r>
    </w:p>
    <w:p>
      <w:r>
        <w:rPr>
          <w:b/>
        </w:rPr>
        <w:t>E. 4.5</w:t>
      </w:r>
    </w:p>
    <w:p>
      <w:r>
        <w:t>Riassumendo le esigenze poste dal diritto interno, dall'Accordo tra la Svizzera e la Comunità europea, nonché i suoi Stati membri, sulla libera circolazione delle persone del 21 giugno 1999 (ALC, RS 0.142.112.681), e dalla giurisprudenza della Corte di giustizia dell'Unione europea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(terrorismo, tratta di esseri umani, traffico di droga e criminalità organizzata), oppure del numero delle infrazioni commesse (recidiva), anche alla luce della loro eventuale crescente gravità o dell'assenza di una prognosi favorevole (cfr. DTF 139 II 121 consid. 6.3).</w:t>
      </w:r>
    </w:p>
    <w:p>
      <w:r>
        <w:rPr>
          <w:b/>
        </w:rPr>
        <w:t>E. 5.1</w:t>
      </w:r>
    </w:p>
    <w:p>
      <w:r>
        <w:t>In concreto, i ricorrenti, cittadini dell'Ucraina, sono giunti in Svizzera il 15 gennaio 2015 per depositare una domanda d'asilo, la quale è stata respinta da questo Tribunale con sentenza definitiva emanata il 12 aprile 2019. Essi si sono tuttavia rifiutati di partire dalla Svizzera il 4 luglio 2019, ossia entro il termine che la SEM aveva loro fissato per eseguire la sentenza in questione, ciò che ha condotto al loro allontanamento coatto il 24 ottobre 2019 (cfr. consid. A, B e H). Questo significa che, già a decorrere dall'emanazione della sentenza del 12 luglio 2019, e, a maggior ragione, quando la SEM ha emesso il divieto d'entrata contestato il 25 ottobre 2019, i ricorrenti erano degli stranieri allontanati ai sensi dell'art. 67 cpv. 1 lett. b LStrI. Ne discende che la SEM doveva, fatti salvi motivi umanitari o altri gravi motivi, pronunciare nei confronti dei ricorrenti un divieto d'entrata (cfr. consid. 4.2).</w:t>
      </w:r>
    </w:p>
    <w:p>
      <w:r>
        <w:rPr>
          <w:b/>
        </w:rPr>
        <w:t>E. 5.2</w:t>
      </w:r>
    </w:p>
    <w:p>
      <w:r>
        <w:t>D'altra parte, rifiutandosi di partire entro il termine stabilito dalla SEM per eseguire la sentenza TAF del 12 aprile 2019, i ricorrenti hanno, di propria volontà, prolungato illegalmente il loro soggiorno in Svizzera e, di riflesso, nello spazio Schengen. In questa maniera essi hanno, da un lato, disobbedito ad una decisione definitiva dell'autorità (cfr., a titolo indicativo, l'art. 292 del Codice penale [CP, RS 311.0]), e, dall'altro lato, infranto le disposizioni della LStrI e della normativa Schengen sulla permanenza in Svizzera degli stranieri, ciò che ha (può avere) delle implicazioni penali (cfr. l'art. 115 cpv. 1 lett. b LStrI e DTF 143 IV 249 consid. 1.9). Ora, secondo una giurisprudenza consolidata, segnatamente il soggiorno illegale in Svizzera rappresenta una violazione grave del diritto degli stranieri (cfr., tra le altre, la sentenza TAF F-1438/2019 del 16 settembre 2020 consid. 7.2 con i riferimenti). Pertanto, anche nell'ottica della difesa dell'ordine e della sicurezza pubblici, si deve riconoscere che i ricorrenti costituivano, nell'ottobre 2019, un pericolo per la Svizzera (e gli altri Stati dello spazio Schengen), con la conseguenza che l'adozione di un divieto d'entrata non superiore a cinque anni era giustificata in applicazione degli artt. 67 cpv. 2 lett. a e 67 cpv. 3 1a frase LStrI (cfr. consid. 4.3 a 4.5).</w:t>
      </w:r>
    </w:p>
    <w:p>
      <w:r>
        <w:rPr>
          <w:b/>
        </w:rPr>
        <w:t>E. 5.3</w:t>
      </w:r>
    </w:p>
    <w:p>
      <w:r>
        <w:t>Tuttavia bisogna ancora esaminare se vi fossero motivi umanitari o altri motivi gravi che avrebbero dovuto indurre la SEM ad astenersi dal pronunciare un divieto d'entrata nei confronti dei ricorrenti (cfr. consid. 4.2). In proposito, alla luce delle informazioni disponibili, entrano in linea di conto, essenzialmente, la situazione di sicurezza nella regione di Donetsk e lo stato di salute di A._______, cosicché è giudizioso riferirsi e rinviare alla relativa analisi dettagliata effettuata nella sentenza TAF D-4238/2017, in particolare ai considerandi 5.3, 5.4 e 8.3 passim. In effetti, considerata la vicinanza nel tempo della sentenza in questione, emanata il 12 aprile 2019, e del divieto d'entrata, emesso il 25 ottobre 2019, non si ravvisano ragioni per credere che la SEM non avrebbe dovuto pronunciare questo provvedimento in considerazione di motivi umanitari o di altri motivi gravi. In questo rispetto, anche il rapporto della dott.ssa D._______, del 16 maggio 2019 (cfr. consid. L), di poco posteriore alla sentenza in questione, non è suscettibile di mutare l'apprezzamento della fattispecie. Di conseguenza, si deve escludere che la SEM avrebbe dovuto rinunciare ad emanare un divieto d'entrata nei confronti dei ricorrenti, o sospenderlo, per motivi umanitari o altri motivi gravi.</w:t>
      </w:r>
    </w:p>
    <w:p>
      <w:r>
        <w:rPr>
          <w:b/>
        </w:rPr>
        <w:t>E. 6</w:t>
      </w:r>
    </w:p>
    <w:p>
      <w:r>
        <w:t>Si tratta ora di fissare, in accordo con il principio di proporzionalità, la durata del divieto d'entrata in funzione del complesso delle circostanze del caso, tenendo conto della situazione personale dei ricorrenti (cfr. artt. 67 cpv. 5 e 96 cpv. 1 LStrI), se del caso anche sotto il profilo del loro diritto al rispetto della loro vita privata e familiare (art. 8 § 1 della Convenzione europea dei diritti dell'uomo [CEDU, RS 0.101]).</w:t>
      </w:r>
    </w:p>
    <w:p>
      <w:r>
        <w:rPr>
          <w:b/>
        </w:rPr>
        <w:t>E. 6.1</w:t>
      </w:r>
    </w:p>
    <w:p>
      <w:r>
        <w:t>In generale, l'attività dello Stato deve rispondere al pubblico interesse ed essere proporzionata allo scopo (art. 5 cpv. 2 della Costituzione federale/Cost., RS 101). Da un punto di vista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6.2</w:t>
      </w:r>
    </w:p>
    <w:p>
      <w:r>
        <w:t>A proposito dell'art. 8 § 1 CEDU bisogna precisare che, benché non garantisca il diritto di entrata e di soggiorno in Svizzera (cfr. DTF 140 I 145 consid. 3.1 e 139 I 330 consid. 2.1 con i rinvii), esso estende la sua protezione, sotto il profilo del diritto al rispetto della vita privata, anche alle relazioni sociali sviluppate nell'ambito di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6.3</w:t>
      </w:r>
    </w:p>
    <w:p>
      <w:r>
        <w:t>In concreto, come esposto al consid. 5.1, i ricorrenti hanno infranto, di propria volontà e, si può quasi dire, con ostinazione, la LStrI e la normativa Schengen, per cui un divieto d'entrata di tre anni soddisfa, in linea di massima, le esigenze del principio di proporzionalità riguardo alla sua idoneità, alla sua necessità e alla sua preponderanza per la difesa dell'ordine e della sicurezza pubblici svizzeri. E ciò vale tanto più che, in relazione all'art. 8 § 1 CEDU, i ricorrenti non hanno, e nemmeno fanno valere, interessi particolari da tutelare, né sul piano della loro vita privata, né sul piano della loro vita familiare, dimodoché non possono ricavare nulla da questa norma convenzionale riguardo ad un'eventuale riduzione della durata del divieto d'entrata. Si aggiunga che, alla luce della giurisprudenza, il fatto che il figlio dei ricorrenti risieda ora in Svizzera con sua moglie (cfr. consid. P) non cambia nulla nell'ottica della protezione della vita familiare ai sensi dell'art. 8 § 1 CEDU.</w:t>
      </w:r>
    </w:p>
    <w:p>
      <w:r>
        <w:rPr>
          <w:b/>
        </w:rPr>
        <w:t>E. 6.4</w:t>
      </w:r>
    </w:p>
    <w:p>
      <w:r>
        <w:t>Così, sulla scorta di quanto precede, la ponderazione dell'interesse pubblico della Svizzera e degli altri Stati membri dello spazio Schengen, di cui la Svizzera funge da garante ("Sachwalter"; cfr. DTAF 2001/48 consid. 6.1), a tenere lontano dal loro territorio i ricorrenti, e gli interessi privati di quest'ultimi, qualunque essi siano, a poter entrare nello spazio Schengen conformemente alla normativa applicabile (cfr. consid. 4.1), permette di concludere che la durata del divieto d'entrata di tre anni è proporzionata. Quanto alla durata della segnalazione nel SIS II, benché essa non debba necessariamente corrispondere a quella del divieto d'entrata, ma possa essere inferiore (cfr. le sentenze TAF F-465/2017 del 12 marzo 2019 consid. 8.3 [DTAF 2019 VII/2], e, per analogia, F-5520/2015 del 19 luglio 2016 consid. 7), gli argomenti formulati in precedenza depongono pure a favore di una durata di tre anni.</w:t>
      </w:r>
    </w:p>
    <w:p>
      <w:r>
        <w:rPr>
          <w:b/>
        </w:rPr>
        <w:t>E. 7</w:t>
      </w:r>
    </w:p>
    <w:p>
      <w:r>
        <w:t>In conclusione, si deve concludere che le decisioni impugnate (divieti d'entrata di tre anni con segnalazione nel SIS II) sono conformi al diritto federale, compresa la normativa Schengen, per cui esse vanno confermate e i ricorsi respinti.</w:t>
      </w:r>
    </w:p>
    <w:p>
      <w:r>
        <w:rPr>
          <w:b/>
        </w:rPr>
        <w:t>E. 8</w:t>
      </w:r>
    </w:p>
    <w:p>
      <w:r>
        <w:t>Rimane ancora da rivolgere l'attenzione al fatto che la SEM non ha proceduto ad alcuna audizione preliminare dei ricorrenti prima di adottare il divieto d'entrata (cfr. art. 30 PA), che non ha loro nemmeno notificato. Riguardo all'audizione preliminare, la SEM ha organizzato tutti i preparativi per il rimpatrio dei ricorrenti nell'Ucraina, in esecuzione della sentenza TAF D-4238/2017, fino a ricorrere alla coazione (cfr. consid. B a H), ben sapendo che avrebbe dovuto emanare nei loro confronti, in quanto stranieri allontanati che ancora si trovavano in Svizzera, un divieto d'entrata in applicazione dell'art. 67 cpv. 1 lett. b LStrI (cfr. consid. 4.2). Questo significa che la SEM avrebbe potuto e dovuto informare preliminarmente i ricorrenti su questo aspetto della loro vicenda, considerato che disponeva del tempo necessario e che un divieto d'entrata non è una misura d'esecuzione (cfr. art. 30 cpv. 2 lett. d/e PA a contrario). In relazione alla non notifica del divieto d'entrata, si deve rilevare che la SEM conosceva l'indirizzo dei ricorrenti nell'Ucraina, fornitole dall'AUB (cfr. consid. D), ossia "...". Stando così le cose, nonostante l'esito negativo dei ricorsi, è equo tenere conto di queste circostanze nel fissare le spese processuali qui di seguito (cfr., mutatis mutandis, la sentenza TAF F-5799/2019 dell'8 febbraio 2021 consid. 3.3 e 9 con i riferimenti).</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alla luce di quanto esposto al consid. 8, questo Tribunale rinuncia a prelevare spese processuali, per cui il resto dell'anticipo di fr. 1'000.-, di cui fr. 334.- sono già stati rimborsati al figlio dei ricorrenti, ossia fr. 666.-, è restituito a quest'ultimi (1'000 - 334 [cfr. consid. M e P]). Dato l'esito negativo dei ricorsi, non si attribuiscono indennità per spese ripetibili (art. 64 cpv. 1 PA a contrario).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