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F-954/2016 vom 3. August 2016</w:t>
      </w:r>
    </w:p>
    <w:p>
      <w:r>
        <w:t>Bundesverwaltungsgericht, 2016-08-03, DE</w:t>
      </w:r>
    </w:p>
    <w:p>
      <w:r>
        <w:rPr>
          <w:b/>
        </w:rPr>
        <w:t xml:space="preserve">Quelle: </w:t>
      </w:r>
      <w:r>
        <w:t>https://mcp.opencaselaw.ch/entscheid/bvger_F-954_2016</w:t>
      </w:r>
    </w:p>
    <w:p>
      <w:r>
        <w:t>FR: TAF F-954/2016 du 3 août 2016</w:t>
      </w:r>
    </w:p>
    <w:p>
      <w:r>
        <w:t>IT: TAF F-954/2016 del 3 agosto 2016</w:t>
      </w:r>
    </w:p>
    <w:p>
      <w:pPr>
        <w:pStyle w:val="Heading2"/>
      </w:pPr>
      <w:r>
        <w:t>Regeste</w:t>
      </w:r>
    </w:p>
    <w:p>
      <w:r>
        <w:t>Einreiseverbot</w:t>
      </w:r>
    </w:p>
    <w:p>
      <w:pPr>
        <w:pStyle w:val="Heading2"/>
      </w:pPr>
      <w:r>
        <w:t>Erwägungen</w:t>
      </w:r>
    </w:p>
    <w:p>
      <w:r>
        <w:rPr>
          <w:b/>
        </w:rPr>
        <w:t>E. 1.1</w:t>
      </w:r>
    </w:p>
    <w:p>
      <w:r>
        <w:t>Von der Vorinstanz erlassene Einreiseverbote bzw. die Entscheide betreffend Gesuche um (wiedererwägungsweise) Aufhebung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 soweit sie nicht durch die während des Verfahrens verfügte Befristung des Einreiseverbots auf ein Jahr sowie die Löschung der SIS-Ausschreibung gegenstandslos geworden ist (vgl. Art. 58 Abs. 3 VwVG; Urteil des BVGer C 2613/2011 vom 19. November 2014 E. 1.4).</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 die Wegweisung nach Artikel 64d Absatz 2 Buchstaben a-c sofort vollstreckt wird; b. diese nicht innerhalb der angesetzten Frist ausgereist sind. 2Es kann Einreiseverbote gegenüber Ausländerinnen und Ausländern verfügen, die: a. gegen die öffentliche Sicherheit und Ordnung in der Schweiz oder im Ausland verstossen haben oder diese gefährden; b. Sozialhilfekosten verursacht haben; c. 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 humanitären oder anderen wichtigen Gründen von der Verhängung eines Einreiseverbots absehen oder ein Einreiseverbot vollständig oder vorübergehend aufheben."</w:t>
      </w:r>
    </w:p>
    <w:p>
      <w:r>
        <w:rPr>
          <w:b/>
        </w:rPr>
        <w:t>E. 3.2</w:t>
      </w:r>
    </w:p>
    <w:p>
      <w:r>
        <w:t>Das Einreiseverbot ist eine Massnahme zur Abwendung einer künftigen Störung der öffentlichen Sicherheit und Ordnung. Die öffentliche Sicherheit und Ordnung im Sinne von Art. 67 Abs. 2 Bst. a AuG bildet den Oberbegriff für die Gesamtheit der polizeilichen Schutzgüter; sie umfasst u.a. die Unverletzlichkeit der objektiven Rechtsordnung und der Rechtsgüter Einzelner. In diesem Sinne liegt ein Verstoss gegen die öffentliche Sicherheit und Ordnung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Eine derartige Prognose lässt sich aus dem vergangenen Verhalten des Betroffenen ableiten, was erklärt, warum Art. 67 Abs. 2 Bst. a AuG die Verhängung einer Fernhaltemassnahme mit einem bereits erfolgten Verstoss gegen die fraglichen Polizeigüter verknüpft (vgl. Urteile des BVGer C 988/2015 vom 29. Oktober 2015 E. 6.2, C 4231/2014 vom 8. April 2015 E. 5.2 und C 8670/2010 vom 7. November 2012 E. 4.2, je m. H.).</w:t>
      </w:r>
    </w:p>
    <w:p>
      <w:r>
        <w:rPr>
          <w:b/>
        </w:rPr>
        <w:t>E. 3.3</w:t>
      </w:r>
    </w:p>
    <w:p>
      <w:r>
        <w:t>Einen Verstoss gegen die öffentliche Sicherheit und Ordnung im Sinne von Art. 67 Abs. 2 Bst. a AuG begeht demnach auch, wer Normen des Ausländerrechts zuwiderhandelt. Dabei genügt es, wenn der ausländischen Person eine Sorgfaltspflichtverletzung zugerechnet werden kann. Unkenntnis oder Fehlinterpretation der Einreise- und Aufenthaltsvorschriften stellen in der Regel keinen hinreichenden Grund für ein Absehen von einer Fernhaltemassnahme dar. Es obliegt jedem Ausländer und jeder Ausländerin, sich über die bestehenden Rechte und Pflichten im Zusammenhang mit ausländerrechtlichen Vorschriften ins Bild zu setzten und sich im Falle von Unklarheiten bei der zuständigen Behörde zu erkundigen (vgl. statt vieler Urteil des BVGer C 7411/2014 vom 30. März 2016 E. 4.2 m.H.).</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w:t>
      </w:r>
    </w:p>
    <w:p>
      <w:r>
        <w:rPr>
          <w:b/>
        </w:rPr>
        <w:t>E. 5</w:t>
      </w:r>
    </w:p>
    <w:p>
      <w:r>
        <w:t>Zunächst ist auf die Rüge einzugehen, dem Beschwerdeführer sei in Bezug auf das Einreiseverbot das rechtliche Gehör nicht gewährt worden (vgl. Art. 29 Abs. 2 BV bzw. Art. 29 ff. VwVG; Beschwerdeschrift Ziff. 14, 43 ff., Replik Ziff. 28 ff.). Diese Rüge ist offensichtlich unbegründet. Aus den Akten ergibt sich ohne weiteres, dass dem Beschwerdeführer am 12. Januar 2016 durch die Zürcher Kantonspolizei das rechtliche Gehör im Hinblick auf eine mögliche Fernhaltemassnahme gewährt wurde (Akten ZH 9/19 Ziff. 4). Dies geschah in Anwesenheit eines Dolmetschers (Akten ZH 9/17) und der Beschwerdeführer bestätigte den Vorgang mit seiner Unterschrift (Akten ZH 9/19). Dass dem Beschwerdeführer am 16. Januar 2016, also nach Erlass und Eröffnung der vorinstanzlichen Verfügung vom 13. Januar 2016, ein weiteres Mal das rechtliche Gehör zu einer möglichen Fernhaltemassnahme gewährt wurde (Akten ZH 20/41-42), ist vorliegend ohne Belang.</w:t>
      </w:r>
    </w:p>
    <w:p>
      <w:r>
        <w:rPr>
          <w:b/>
        </w:rPr>
        <w:t>E. 6</w:t>
      </w:r>
    </w:p>
    <w:p>
      <w:r>
        <w:t>Soweit der Beschwerdeführer den Strafbefehl vom 12. Januar 2016, die Wegweisungsverfügung vom 13. Januar 2016, die Beschlagnahme seiner Barschaft sowie seine Inhaftierungen kritisiert, ist im vorliegenden Verfahren nicht darauf einzugehen, da nur das Einreisverbot Gegenstand der angefochtenen Verfügung war und sein konnte.</w:t>
      </w:r>
    </w:p>
    <w:p>
      <w:r>
        <w:rPr>
          <w:b/>
        </w:rPr>
        <w:t>E. 7.1</w:t>
      </w:r>
    </w:p>
    <w:p>
      <w:r>
        <w:t>Der Beschwerdeführer wurde am 11. Januar 2016 von der Kantonspolizei Zürich kontrolliert (Akten ZH 1/1-2). Er wies sich mit einem (gültigen) chinesischen Reisepass, einem abgelaufenen Visum für Malta sowie einer Bestätigung der maltesischen Behörden, wonach ein Aufenthaltsverfahren hängig sei und er sich deshalb in Malta aufhalten dürfe, aus (Akten SEM 7-9).</w:t>
      </w:r>
    </w:p>
    <w:p>
      <w:r>
        <w:rPr>
          <w:b/>
        </w:rPr>
        <w:t>E. 7.2</w:t>
      </w:r>
    </w:p>
    <w:p>
      <w:r>
        <w:t>In dieser Hinsicht macht der Beschwerdeführer geltend, die Vorinstanz habe den Sachverhalt nicht richtig abgeklärt. In der Beschwerdeschrift wird dazu festgehalten, der Beschwerdeführer verfüge über eine Aufenthaltsbewilligung für Malta, dies habe er - unter Verweis auf das "Visum D" und die "Bestätigung über die Aufenthaltsbewilligung" - mehrmals gegenüber der Polizei festgehalten (Beschwerdeschrift Ziff. 32 und 34). In der Replik wird überdies ausgeführt, die maltesische Aufenthaltsbewilligung habe sich in dem Auto befunden, mit dem der Beschwerdeführer in die Schweiz gekommen sei. Die Polizeibeamten hätten ihm jedoch nicht gestattet, sie zu holen (Replik Ziff. 13 ff., 38).</w:t>
      </w:r>
    </w:p>
    <w:p>
      <w:r>
        <w:rPr>
          <w:b/>
        </w:rPr>
        <w:t>E. 7.3</w:t>
      </w:r>
    </w:p>
    <w:p>
      <w:r>
        <w:t>Gemäss Art. 6 Abs. 1 Bst. a und Bst. b der Verordnung (EU) 2016/399 vom 9. März 2016 über den Schengener Grenzkodex (kodifizierter Text) (ABl. L 77/1 vom 23.3.2016, nachfolgend: SGK K) müssen Drittstaatsangehörige über ein für den Grenzübertritt anerkanntes Ausweispapier und über ein Visum zu verfügen, sofern dies erforderlich ist. Von der Visumspflicht befreit sind Personen, die Inhaber eines gültigen Aufenthaltstitels eines Schengen-Staates oder über ein Visum zum längerfristigen Aufenthalt verfügen. Diese Dokumente müssen bei Kontrollen vorgewiesen werden können (vgl. Art. 8 SGK K). Wird bei eine Kontrolle festgestellt, dass ein Drittstaatsangehöriger die Einreisevoraussetzungen nicht oder nicht mehr erfüllt, wird sein Aufenthalt als illegal angesehen (vgl. Art. 3 Ziff. 2 der Rückführungsrichtlinie 2008/115/EG vom 16. Dezember 2008, ABl. L 348/98 vom 24.12.2008).</w:t>
      </w:r>
    </w:p>
    <w:p>
      <w:r>
        <w:rPr>
          <w:b/>
        </w:rPr>
        <w:t>E. 7.4</w:t>
      </w:r>
    </w:p>
    <w:p>
      <w:r>
        <w:t>Die vom Beschwerdeführer anlässlich der Polizeikontrolle vorgelegten Dokumente genügten den erwähnten Anforderungen nicht. Entgegen der auf Beschwerdeebene vertretenen Auffassung kann aus einem abgelaufenen Visum für einen längeren Aufenthalt (Typ D) nicht automatisch auf eine gegenwärtige oder gar zukünftige Erlaubnis zum längerfristigen Aufenthalt geschlossen werden. Gleiches gilt für die Bestätigung der maltesischen Behörden, dass ein Aufenthaltsgesuch hängig sei ("Application for Residence in Malta - Receipt", Beschwerdebeilage 5). Darin wurde dem Beschwerdeführer der Aufenthalt nur vorübergehend - bis zum definitiven Entscheid über das Gesuch - gestattet. Es handelt sich dabei somit bloss um einen vorläufigen Aufenthaltstitel im Sinne von Art. 2 Ziff. 16 Bst. b (i) SGK K. Zudem ermächtigten diese Dokumente den Beschwerdeführer zu keinem Zeitpunkt zum Aufenthalt in anderen Schengen-Staaten als Malta. In der Replik bringt der Beschwerdeführer sodann erstmals vor, die maltesische Aufenthaltsbewilligung habe sich im Auto befunden, in dem er in die Schweiz gekommen sei, die Polizisten hätten ihm aber die Möglichkeit verwehrt, die Aufenthaltsbewilligung aus dem Auto zu holen. Diese Behauptung ist offensichtlich nachgeschoben, gibt es doch weder in der Beschwerdeschrift noch in den Akten entsprechende Hinweise. Aus den Unterlagen betreffend die Festnahme des Beschwerdeführers geht vielmehr hervor, dass er anerkennt, ohne die notwendigen Dokumente eingereist zu sein; er habe die von ihm vorgelegten Dokumente falsch interpretiert (Akten ZH 9/17, 19). Von weiteren Unterlagen, die sich im Auto befunden haben sollen, ist auch im Befragungsprotokoll der Kantonspolizei nicht die Rede (Akten ZH 10/21 f.).</w:t>
      </w:r>
    </w:p>
    <w:p>
      <w:r>
        <w:rPr>
          <w:b/>
        </w:rPr>
        <w:t>E. 7.5</w:t>
      </w:r>
    </w:p>
    <w:p>
      <w:r>
        <w:t>Da der Beschwerdeführer die notwendigen Dokumente nicht bei sich trug, erfüllte er die Einreisevoraussetzungen nicht, und sein Aufenthalt in der Schweiz war deshalb illegal. Zudem wurde er in Ausschaffungshaft genommen (Akten ZH 15/33). Diese beiden Umstände stellen Fernhaltegründe im Sinne von Art. 67 Abs. 2 Bst. a und Bst. c AuG dar. Daran vermag nichts zu ändern, dass der Beschwerdeführer gegenüber der Polizei zunächst geltend machte, die Dokumente falsch interpretiert zu haben. Er hätte sich über die Rahmenbedingungen seines Aufenthaltes kundig machen müssen (vgl. E. 3.3). An dieser Schlussfolgerung vermag auch der Umstand nichts zu ändern, dass der Beschwerdeführer nachträglich die Kopie einer bereits zwei Monate vor seiner Einreise in die Schweiz ausgestellten maltesischen Aufenthaltsbewilligung vorlegen konnte.</w:t>
      </w:r>
    </w:p>
    <w:p>
      <w:r>
        <w:rPr>
          <w:b/>
        </w:rPr>
        <w:t>E. 8.1</w:t>
      </w:r>
    </w:p>
    <w:p>
      <w:r>
        <w:t>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mit Hinweis).</w:t>
      </w:r>
    </w:p>
    <w:p>
      <w:r>
        <w:rPr>
          <w:b/>
        </w:rPr>
        <w:t>E. 8.2</w:t>
      </w:r>
    </w:p>
    <w:p>
      <w:r>
        <w:t>Aus der illegalen Anwesenheit des Beschwerdeführers in der Schweiz (bzw. im Schengen-Raum abgesehen von Malta) wird auf eine Gefährdung der öffentlichen Sicherheit und Ordnung geschlossen (vgl. E. 3.2). An der Einhaltung der Rechtsordnung im Allgemeinen und den Vorschriften über Einreise und Aufenthalt im Besonderen besteht ein gewichtiges öffentliches Interesse. Gewichtig ist zum einen das generalpräventiv motivierte Interesse, die öffentliche Ordnung durch eine konsequente Massnahmepraxis zu schützen. Zum anderen liegt eine spezialpräventive Zielsetzung der Massnahme darin, den Beschwerdeführer zu ermahnen, bei einer allfälligen künftigen Wiedereinreise nach dem Ablauf des Einreiseverbots die für ihn geltenden Regeln einzuhalten. Das öffentliche Interesse an einer zeitweiligen Fernhaltung des Beschwerdeführers ist demnach als gewichtig anzusehen (vgl. Urteil des BVGer C 5068/2015 vom 26. April 2016 E. 5.2 m.H.).</w:t>
      </w:r>
    </w:p>
    <w:p>
      <w:r>
        <w:rPr>
          <w:b/>
        </w:rPr>
        <w:t>E. 8.3</w:t>
      </w:r>
    </w:p>
    <w:p>
      <w:r>
        <w:t>Dem öffentlichen Interesse sind die privaten Interessen des Beschwerdeführers gegenüber zu stellen. In der Replik (Ziff. 38) macht der Beschwerdeführer geltend, Freunde in der Schweiz zu haben. Er beabsichtige, diese in Zukunft wieder zu besuchen, zumal der letzte Besuch durch seine Festnahme abrupt beendet worden sei. Durch die Anordnung eines Einreiseverbots werde sein Recht auf Pflege seiner Freundschaften verletzt, da die freie Ausgestaltung der zwischenmenschlichen Beziehungen unter den Schutzbereich von Art. 8 EMRK falle. Diese Argumentation ist aufgrund der Akten nicht nachvollziehbar. Gegenüber der Polizei erwähnte der Beschwerdeführer seine in Malta lebende Ehefrau und eine Schwester, die in Paris lebt. In die Schweiz ist er gemäss eigenen Angaben gekommen, um Freunde zu treffen, die im Rahmen ihrer Flitterwochen in die Schweiz reisten. Der Beschwerdeführer holte sie am Flughafen ab (Akten ZH 10/21). Von Freunden in der Schweiz ist erstmals in der Replik die Rede. Dieser Teil der Begründung ist demnach als nachgeschoben anzusehen. Aber selbst wenn Freunde des Beschwerdeführers in der Schweiz leben würden, würde diese Tatsache allein nicht genügen, damit diese Beziehung in den Schutzbereich von Art. 8 EMRK fiele, da die diesbezüglichen Anforderungen sehr hoch sind (vgl. BGE 130 II 281 E. 3.2.1, Urteil des BGer 2C_229/2016 vom 29. April 2016 E. 2.2 S. 5 m.H.; Jens Meyer-Ladewig, EMRK, Handkommentar, 3. Aufl. 2011, N 67 zu Art. 8). Umstände, die diesen hohen Anforderungen genügen könnten, werden weder geltend gemacht noch sind sie aus den Akten ersichtlich.</w:t>
      </w:r>
    </w:p>
    <w:p>
      <w:r>
        <w:rPr>
          <w:b/>
        </w:rPr>
        <w:t>E. 8.4</w:t>
      </w:r>
    </w:p>
    <w:p>
      <w:r>
        <w:t>Vor dem Hintergrund des geschilderten öffentlichen Interesses an der Fernhaltung des Beschwerdeführers von der Schweiz (und dem Fürstentum Liechtenstein) und fehlender privater Interessen ist das für die Dauer von einem Jahr verhängte Einreiseverbot sowohl vom Grundsatz als auch von der Dauer her als verhältnismässige und angemessene Massnahme zum Schutz der öffentlichen Sicherheit und Ordnung anzusehen. Zudem entspricht es der ständigen Praxis in vergleichbaren Fällen (vgl. etwa Urteile des BVGer F 5520/2016 vom 19. Juli 2016 E. 6 oder C 5068/2015 vom 26. April 2016 E. 5.4).</w:t>
      </w:r>
    </w:p>
    <w:p>
      <w:r>
        <w:rPr>
          <w:b/>
        </w:rPr>
        <w:t>E. 9</w:t>
      </w:r>
    </w:p>
    <w:p>
      <w:r>
        <w:t>Aus diesen Erwägungen ergibt sich, dass die angefochtene Verfügung, so wie sie sich nach der Vernehmlassung der Vorinstanz darstellt (vgl. E. 1.2), im Lichte von Art. 49 VwVG nicht zu beanstanden ist. Die Beschwerde ist demzufolge abzuweisen, soweit sie nicht gegenstandslos geworden ist.</w:t>
      </w:r>
    </w:p>
    <w:p>
      <w:r>
        <w:rPr>
          <w:b/>
        </w:rPr>
        <w:t>E. 10.1</w:t>
      </w:r>
    </w:p>
    <w:p>
      <w:r>
        <w:t>Gemäss Art. 63 Abs. 1 VwVG sind die Verfahrenskosten der unterliegenden Partei aufzuerlegen. Wird ein Verfahren (teilweise) gegenstandslos, so sind die Kosten in diesem Umfang jener Partei aufzuerlegen, deren Verhalten die Gegenstandslosigkeit bewirkt hat (Art. 5 des Reglements vom 21. Februar 2008 über die Kosten und Entschädigungen vor dem Bundesverwaltungsgericht [VGKE, SR 173.320.2]), wobei bei der Beurteilung auf materielle Kriterien abzustellen ist und nicht darauf, wer die konkrete Prozesshandlung vorgenommen hat (vgl. Moser/Beusch/Kneubühler, Prozessieren vor dem Bundesverwaltungsgericht, 2. Aufl. 2013, Rz. 4.56 m.H., Weissenberger/Hirzel, in Weissenberger/Waldmann [Hrsg.], Praxiskommentar VwVG, 2. Aufl. 2016, N. 1 f. zu Art. 5 VGKE).</w:t>
      </w:r>
    </w:p>
    <w:p>
      <w:r>
        <w:rPr>
          <w:b/>
        </w:rPr>
        <w:t>E. 10.2</w:t>
      </w:r>
    </w:p>
    <w:p>
      <w:r>
        <w:t>Die Vorinstanz ist teilweise auf ihre Verfügung vom 13. Januar 2016 zurückgekommen, da der Beschwerdeführer auf Beschwerdeebene Kopien der am 4. November 2015 ausgestellten maltesischen Aufenthaltsbewilligung eingereicht hat. Weil der Beschwerdeführer bei seiner Festnahme die Aufenthaltsbewilligung, die zu jenem Zeitpunkt bereits seit mehr als zwei Monaten vorlag, nicht vorgewiesen oder auch nur erwähnt hat, hat er die teilweise Gegenstandslosigkeit zu verantworten. Er hat somit nicht nur die Kosten im Umfang seines Unterliegens, sondern auch die übrigen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