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F-9548/2025 vom 15. Dezember 2025</w:t>
      </w:r>
    </w:p>
    <w:p>
      <w:r>
        <w:t>Bundesverwaltungsgericht, 2025-12-15, DE</w:t>
      </w:r>
    </w:p>
    <w:p>
      <w:r>
        <w:rPr>
          <w:b/>
        </w:rPr>
        <w:t xml:space="preserve">Quelle: </w:t>
      </w:r>
      <w:r>
        <w:t>https://mcp.opencaselaw.ch/entscheid/bvger_F-9548_2025</w:t>
      </w:r>
    </w:p>
    <w:p>
      <w:r>
        <w:t>FR: TAF F-9548/2025 du 15 décembre 2025</w:t>
      </w:r>
    </w:p>
    <w:p>
      <w:r>
        <w:t>IT: TAF F-9548/2025 del 15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3</w:t>
      </w:r>
    </w:p>
    <w:p>
      <w:r>
        <w:t>Der Abgleich der Fingerabdrücke des Beschwerdeführers in der Eurodac-Datenbank ergab, dass er sowohl am 9. Januar 2024 als auch am 2. Juli 2025 in Frankreich Asylgesuche eingereicht hatte. Nachdem die französischen Behörden dem Wiederaufnahmegesuch der Vorinstanz am 28. Oktober 2025 zugestimmt haben, ist die Zuständigkeit Frankreichs grundsätzlich gegeben.</w:t>
      </w:r>
    </w:p>
    <w:p>
      <w:r>
        <w:rPr>
          <w:b/>
        </w:rPr>
        <w:t>E. 4.1</w:t>
      </w:r>
    </w:p>
    <w:p>
      <w:r>
        <w:t>Die Vorinstanz hat korrekt erwogen, dass das Asylverfahren in Frankreich keine systemischen Schwachstellen aufweist (Art. 3 Abs. 2 Dublin-III-VO) und Hinweise dafür fehlen, wonach das Land seinen völkerrechtlichen Verpflichtungen gegenüber dem Beschwerdeführer nicht nachgekommen wäre oder das Asylverfahren nicht regelkonform durchführen würde respektive durchgeführt hätte. Der Beschwerdeführer vermag keine individuellen Umstände geltend zu machen, die zu einer anderen Einschätzung führen könnten. Weder sind Anhaltspunkte ersichtlich, dass ihm die Behörden nach einer Überstellung im Rahmen des Dublin-Verfahrens dauerhaft die gemäss Aufnahmerichtlinie zustehenden minimalen Lebensbedingungen vorenthalten würden, noch staatlichen Schutz verweigern würden. Frankreich ist ein funktionierender Rechtsstaat und die Behörden sind gewillt und fähig, staatlichen Schutz zu gewähren. Sollte er sich durch Dritte belästigt oder - wie vorliegend geltend gemacht - bedroht fühlen, ist er gehalten, bei der Polizei um Schutz nachzusuchen. Es war ihm denn auch möglich, bei der örtlich zuständigen Polizeistelle Anzeige zu erstatten (vgl. SEM act. 7). Es sind keine völkerrechtlichen Vollzugshindernisse ersichtlich, welche die Schweiz zu einem Selbsteintritt nach Art. 17 Abs. 1 Dublin-III-VO verpflichten würden. Es liegen auch keine Anhaltspunkte vor, die darauf schliessen lassen, Frankreich habe im Falle des Beschwerdeführers den Grundsatz des Non-Refoulement gemäss Art. 33 FK und Art. 3 EMRK nicht beachtet und beabsichtige, ihn rechtswidrig nach Sri Lanka zurückzuschaffen, ohne geprüft zu haben, ob ihm dort flüchtlingsrechtlich relevante Verfolgung oder eine menschenrechtswidrige Behandlung drohen würde (einlässlich dazu Urteil des EuGH vom 30. November 2023, verbundene Rechtssachen C-228/21, C-254/21, C-297/21, C-315/21 und C-328/21, §§ 129-142 und Ziff. 2 des Dispositivs). Im Übrigen hätte er die Möglichkeit, den französischen Behörden allfällige Wiederaufnahme- oder Wiedererwägungsgründe im Rahmen eines Folgeantrags nach Art. 40 Verfahrensrichtlinie zu unterbreiten. Der Umstand, dass er bereits ein zweites Asylgesuch bei den dortigen Behörden eingereicht hat, lässt denn auch auf einen solchen Folgeantrag schliessen.</w:t>
      </w:r>
    </w:p>
    <w:p>
      <w:r>
        <w:rPr>
          <w:b/>
        </w:rPr>
        <w:t>E. 4.2</w:t>
      </w:r>
    </w:p>
    <w:p>
      <w:r>
        <w:t>Was den Gesundheitszustand des Beschwerdeführers angeht, sind folgende gesundheitlichen Beeinträchtigungen aktenkundig: (Nennung Leiden und Diagnosen). Weiter beschäftige er sich immer wieder mit dem Thema Suizid. Er erhält derzeit (...) verschiedene Medikamente (vgl. SEM act. 27-31). Diese Leiden sind - entgegen der in der Beschwerde vertretenen Ansicht - selbst in ihrer Gesamtheit nicht derart gravierend, dass bei einer Überstellung nach Frankreich mit dem realen Risiko einer ernsten, raschen und unwiederbringlichen Verschlechterung seines Gesundheitszustands gerechnet werden müsste, die zu intensivem Leiden oder einer erheblichen Verkürzung seiner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Frankreich verfügt zudem über eine fortschrittliche medizinische Infrastruktur und ist gemäss Art. 19 Abs. 1 und 2 der Aufnahmerichtlinie verpflichtet, dem Beschwerdeführer bei Bedarf die erforderliche medizinische Behandlung seiner gesundheitlichen Probleme zukommen zu lassen. Antragstellenden mit besonderen Bedürfnissen ist die erforderliche medizinische oder sonstige Hilfe einschliesslich einer geeigneten psychologischen Betreuung zu gewähren. Das Bundesverwaltungsgericht verkennt nicht, dass sich ein stabiles Umfeld und die Unterstützung durch eine Vertrauensperson positiv auf die psychische Gesundheit einer Person auswirken. Insofern ist das Ansinnen des Beschwerdeführers, die hierzulande begonnene Behandlung fortführen zu können, verständlich. Die Dublin-III-VO räumt schutzsuchenden Personen jedoch kein Recht ein, den ihren Asylantrag prüfenden Mitgliedstaat und ihren Aufenthaltsort innerhalb desselben selbst auszuwählen (vgl. BVGE 2010/45 E. 8.3). Nach seiner Ankunft in Frankreich kann sich der Beschwerdeführer an die dortigen medizinischen Institutionen wenden. Zudem ist es ihm unbenommen allenfalls von dort den Kontakt zu einer in der Schweiz weilenden Vertrauensperson (Nennung Person) aufzunehmen und durch moderne Kommunikationsmittel weiter zu pflegen. Auch allfällige Suizidgedanken und -pläne können den Wegweisungsvollzug rechtsprechungsgemäss grundsätzlich nicht in Frage stellen, solange konkrete Massnahmen zur Verhütung ihrer Umsetzung getroffen werden (vgl. Urteile des BGer 2C_221/2020 vom 19. Juni 2020 E. 2; 2C_856/2015 vom 10. Oktober 2015 E. 3.2.1; vgl. bspw. Urteil des BVGer F-3342/2025 vom 14. Mai 2025 E. 4.2 m.w.H.). Die Vorinstanz hat den medizinischen Umständen bei der Bestimmung der konkreten Überstellungsmodalitäten Rechnung zu tragen und sicherzustellen, dass die französischen Behörden vorgängig in geeigneter Weise über die spezifischen medizinischen Umstände informiert werden (vgl. Art. 31 f. Dublin-III-VO).</w:t>
      </w:r>
    </w:p>
    <w:p>
      <w:r>
        <w:rPr>
          <w:b/>
        </w:rPr>
        <w:t>E. 4.3</w:t>
      </w:r>
    </w:p>
    <w:p>
      <w:r>
        <w:t>Die Vorinstanz hat sodann in rechtsfehlerfreier Ausübung des ihr nach Art. 17 Abs. 1 Dublin-III-VO und Art. 29a Abs. 3 der Asylverordnung 1 vom 11. August 1999 (AsylV 1, SR 142.311) zukommenden Ermessens und gestützt auf einen korrekt erstellten Sachverhalt von einem freiwilligen Selbsteintritt der Schweiz abgesehen.</w:t>
      </w:r>
    </w:p>
    <w:p>
      <w:r>
        <w:rPr>
          <w:b/>
        </w:rPr>
        <w:t>E. 5</w:t>
      </w:r>
    </w:p>
    <w:p>
      <w:r>
        <w:t>Das SEM ist zu Recht in Anwendung von Art. 31a Abs. 1 Bst. b AsylG auf das Asylgesuch des Beschwerdeführers nicht eingetreten. Die Überstellung nach Frankreich wurde in Anwendung von Art. 44 AsylG ebenfalls zu Recht angeordnet.</w:t>
      </w:r>
    </w:p>
    <w:p>
      <w:r>
        <w:rPr>
          <w:b/>
        </w:rPr>
        <w:t>E. 6</w:t>
      </w:r>
    </w:p>
    <w:p>
      <w:r>
        <w:t>Die Beschwerde ist abzuweisen und die Verfügung des SEM zu bestätigen.</w:t>
      </w:r>
    </w:p>
    <w:p>
      <w:r>
        <w:rPr>
          <w:b/>
        </w:rPr>
        <w:t>E. 7</w:t>
      </w:r>
    </w:p>
    <w:p>
      <w:r>
        <w:t>Mit dem Entscheid in der Hauptsache sind die Gesuche um Erteilung der aufschiebenden Wirkung und um Verzicht auf die Erhebung eines Kostenvorschusses gegenstandslos geworden. Der am 11. Dezember 2025 verfügte einstweilige Vollzugsstopp fällt mit dem vorliegenden Urteil dahin.</w:t>
      </w:r>
    </w:p>
    <w:p>
      <w:r>
        <w:rPr>
          <w:b/>
        </w:rPr>
        <w:t>E. 8</w:t>
      </w:r>
    </w:p>
    <w:p>
      <w:r>
        <w:t>Das Gesuch um Gewährung der unentgeltlichen Prozessführung ist abzuweisen, da die Beschwerde gemäss den vorstehenden Erwägungen als von vornherein aussichtslos zu bezeichnen war. Daher fehlt es, unbesehen der finanziellen Verhältnisse des Beschwerdeführers, an einer gesetzlichen Voraussetzung gemäss Art. 65 Abs. 1 VwVG. Bei diesem Ausgang des Verfahrens sind ihm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