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F-9544/2025 vom 23. April 2026</w:t>
      </w:r>
    </w:p>
    <w:p>
      <w:r>
        <w:t>Bundesverwaltungsgericht, 2026-04-23, DE</w:t>
      </w:r>
    </w:p>
    <w:p>
      <w:r>
        <w:rPr>
          <w:b/>
        </w:rPr>
        <w:t xml:space="preserve">Quelle: </w:t>
      </w:r>
      <w:r>
        <w:t>https://mcp.opencaselaw.ch/entscheid/bvger_F-9544_2025</w:t>
      </w:r>
    </w:p>
    <w:p>
      <w:r>
        <w:t>FR: TAF F-9544/2025 du 23 avril 2026</w:t>
      </w:r>
    </w:p>
    <w:p>
      <w:r>
        <w:t>IT: TAF F-9544/2025 del 23 aprile 2026</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 2.2 m.H.).</w:t>
      </w:r>
    </w:p>
    <w:p>
      <w:r>
        <w:rPr>
          <w:b/>
        </w:rPr>
        <w:t>E. 3.1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zu verweigern, wenn die Voraussetzungen nicht erfüllt sind. Liegen keine Ablehnungsgründe vor, ist das Visum auszustellen; ein Rechtsfolgeermessen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[nachfolgend: EU-Visa-VO]). Des Weiteren müssen sie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bekundeten Absicht bestehen, das Hoheitsgebiet der Mitgliedstaaten vor Ablauf der Gültigkeit des beantragten Visums zu verlassen (Art. 32 Abs. 1 Bst. b VK).</w:t>
      </w:r>
    </w:p>
    <w:p>
      <w:r>
        <w:rPr>
          <w:b/>
        </w:rPr>
        <w:t>E. 3.4</w:t>
      </w:r>
    </w:p>
    <w:p>
      <w:r>
        <w:t>Sind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VK; Art. 6 Abs. 5 Bst. c SGK).</w:t>
      </w:r>
    </w:p>
    <w:p>
      <w:r>
        <w:rPr>
          <w:b/>
        </w:rPr>
        <w:t>E. 4</w:t>
      </w:r>
    </w:p>
    <w:p>
      <w:r>
        <w:t>Strittig und zu prüfen ist, ob die Beschwerdeführerin, welche als tansanische Staatsangehörige der Visumspflicht unterliegt (vgl. Art. 8 Abs. 1 VEV i.V.m. Anhang I EU-Visa-VO; Art. 6 Abs. 1 Bst. b SGK),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4.2</w:t>
      </w:r>
    </w:p>
    <w:p>
      <w:r>
        <w:t>Aktuell belegt Tansania auf dem durch das Entwicklungsprogramm der Vereinten Nationen im Sinne eines Wohlstandsindikators erstellten Index der menschlichen Entwicklung (HDI) lediglich Platz 165 von 193 gelisteten Staaten (vgl. https://hdr.undp.org/data-center/human-development-index#/indicies/HDI, abgerufen am 30.03.2026). Weite Teile der tansanischen Bevölkerung leben in schwierigen wirtschaftlichen Verhältnissen, vor allem in ländlichen Gebieten. Rund 14 Millionen Menschen müssen mit weniger als 21 US-Dollar pro Monat auskommen. Von Armut sind insbesondere junge Menschen und Frauen betroffen. Nach den Präsidentschafts- und Parlamentswahlen vom 28./29. Oktober 2025 kam es in mehreren Städten und Regionen zu Protesten. In Dar es Salaam, Arusha und weiteren Städten des Landes gab es gewalttätige Zusammenstösse zwischen Demonstrierenden und Sicherheitskräften, welche Todesopfer gefordert und erhebliche Sachschäden verursacht haben. Die innenpolitische Situa-tion bleibt angespannt. Es ist nicht auszuschliessen, dass es in Zukunft erneut zu Protesten, Demonstrationen, Streiks und Strassenblockaden kommt (vgl. zum Ganzen Eidgenössisches Departement für auswärtige Angelegenheiten [EDA], Reisehinweise für Tansania, https://www.eda.admin.ch/de/reisehinweise-fuer-tansania; Direktion für Entwicklung und Zusammenarbeit [DEZA], Tansania, https://www.deza.eda.admin.ch/de/land-tansania, beide abgerufen am 30.03.2026).</w:t>
      </w:r>
    </w:p>
    <w:p>
      <w:r>
        <w:rPr>
          <w:b/>
        </w:rPr>
        <w:t>E. 4.3</w:t>
      </w:r>
    </w:p>
    <w:p>
      <w:r>
        <w:t>Dem Einwand der Beschwerdeführerin, die schwierige Lage in Tansania dürfe nicht zur pauschalen Annahme einer nicht fristgerechten Ausreise aus dem Schengen-Raum führen, ist entgegenzuhalten, dass ein gewisser Schematismus in diesem Zusammenhang nicht vermieden werden kann. Visumsverweigerungen erfolgen aber nicht pauschal aufgrund der Staatszugehörigkeit, sondern unter Vornahme einer Einzelfallprüfung. Dass dabei Gesuchstellenden in ähnlichen Lebenssituationen - unter Berücksichtigung der Besonderheiten des Einzelfalls - grundsätzlich ein gleicher Entscheid zukommt, spricht denn auch für eine rechtsgleiche Anwendung der Voraussetzungen bei der Prüfung einer Visumerteilung. Entgegen der Ansicht der Beschwerdeführerin hat die Vorinstanz im Rahmen einer Gesamtwürdigung umfassend auf ihre persönlichen Lebensumstände Bezug genommen und die eingereichten Beweismittel hinreichend gewürdigt (siehe E. 4.5 ff. hiernach). Überdies hat sie ausführlich dargelegt, aus welchen Gründen sie zum Schluss gelangte, die fristgerechte Wiederausreise der Beschwerdeführerin aus dem Schengen-Raum sei nicht ausreichend gesichert. Auf dieser Basis war die Beschwerdeführerin ohne Weiteres in der Lage, die Verfügung sachgerecht anzufechten (vgl. BGE 148 III 30 E. 3.1; 145 III 324 E. 6.1; 142 II 49 E. 9.2; je m.w.H.). Mithin sind die in diesem Zusammenhang erhobenen Rügen der Verletzung der Begründungspflicht (Art. 35 Abs. 1 VwVG) und der Pflicht zur vollständigen und richtigen Feststellung des rechtserheblichen Sachverhalts (Art. 12 VwVG) unbegründet, womit der Eventualantrag auf Rückweisung der Sache an die Vorinstanz abzuweisen ist. Nach ständiger bundesgerichtlicher Rechtsprechung schliesst sodann das Recht auf Äusserung als Teilgehalt des rechtlichen Gehörs (Art. 29 Abs. 2 BV; Art. 29 VwVG) keinen Anspruch auf eine mündliche Verhandlung ein (Art. 57 Abs. 2 VwVG; BGE 140 I 68 E. 9.6.1; 134 I 140 E. 5.3; 130 II 425 E. 2.1; Urteile des BGer 2C_420/2025 vom 7. Oktober 2025 E. 6.2; 2C_163/2020 vom 14. Mai 2020 E. 3.4; je m.w.H.), weshalb der entsprechende Antrag ebenfalls abzuweisen ist.</w:t>
      </w:r>
    </w:p>
    <w:p>
      <w:r>
        <w:rPr>
          <w:b/>
        </w:rPr>
        <w:t>E. 4.4</w:t>
      </w:r>
    </w:p>
    <w:p>
      <w:r>
        <w:t>Vor diesem Hintergrund ist nicht zu beanstanden, dass die Vorinstanz das Risiko einer nicht fristgerechten Wiederausreise in Bezug auf gesuchstellende Personen aus Tansania allgemein als erheblich einschätzt.</w:t>
      </w:r>
    </w:p>
    <w:p>
      <w:r>
        <w:rPr>
          <w:b/>
        </w:rPr>
        <w:t>E. 4.5</w:t>
      </w:r>
    </w:p>
    <w:p>
      <w:r>
        <w:t>Nebst den allgemeinen Verhältnissen im Herkunftsland sind, wie schon erwähnt,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4.6</w:t>
      </w:r>
    </w:p>
    <w:p>
      <w:r>
        <w:t>Die 25-jährige Beschwerdeführerin ist ledig und kinderlos. Über das übliche Mass hinausgehenden Verpflichtungen oder gar Abhängigkeiten in ihrem engeren familiären oder persönlichen Umfeld, die besondere Gewähr für ihre Rückkehr nach Tansania bieten könnten, sind weder geltend gemacht worden noch ersichtlich. In derartigen Konstellationen ist das Emigrationsrisiko erhöht, wenn - wie im vorliegenden Fall - durch die Anwesenheit eines Bekannten in der Schweiz ein vorbestehendes soziales Beziehungsnetz besteht (vgl. BVGE 2014/1 E. 6.2.2; Urteil des BVGer F-3863/2025 vom 13. März 2026 E. 4.5 m.w.H.).</w:t>
      </w:r>
    </w:p>
    <w:p>
      <w:r>
        <w:rPr>
          <w:b/>
        </w:rPr>
        <w:t>E. 4.7</w:t>
      </w:r>
    </w:p>
    <w:p>
      <w:r>
        <w:t>In Bezug auf die wirtschaftlichen Verhältnisse ist aktenkundig, dass die Beschwerdeführerin als (...) bei «(...)» arbeitstätig ist. Ihr behauptetes monatliches Einkommen von 900'000 Tansania-Schilling (ca. Fr. 275.-) blieb allerdings gänzlich unbelegt. Auf Beschwerdeebene reichte sie erstmals eine «Business License» vom 2. September 2025 ein, welche sie offenbar zum Verkauf von Nahrungsmitteln berechtigt. Sie machte jedoch keinerlei weitergehende Angaben dazu noch reichte sie Belege zu einem allenfalls damit erzielten Erwerbseinkommen ein. In Bezug auf die eingereichten Kontoauszüge ist festzustellen, dass das am 19. Juni 2025 einen Saldo von 15'185'110 Tansania-Schilling (ca. Fr. 4'635.-) aufweisende Bankkonto auf den Namen des Vaters der Beschwerdeführerin lautet, wobei er ihr gemäss einem Schreiben vom 1. Juli 2025 insofern Zugriff darauf gewährt, als dass es für ihren Aufenthalt in der Schweiz erforderlich sei. Weitergehende Angaben zur finanziellen Situation der Beschwerdeführerin sind den Akten nicht zu entnehmen, weshalb eine verlässliche Einschätzung ihrer Einkommens- und Vermögenssituation nicht möglich ist. Nicht für das Vorliegen von wirtschaftlich günstigen oder privilegierten Verhältnissen spricht jedenfalls, dass sämtliche mit dem Besuchsaufenthalt verbundenen Kosten vom Vertreter übernommen würden. Angesichts dessen sind die wirtschaftlichen und finanziellen Verhältnisse der Beschwerdeführerin entgegen ihrer Auffassung gerade nicht geeignet, die Prognose für eine fristgerechte Wiederausreise zu begünstigen.</w:t>
      </w:r>
    </w:p>
    <w:p>
      <w:r>
        <w:rPr>
          <w:b/>
        </w:rPr>
        <w:t>E. 4.8</w:t>
      </w:r>
    </w:p>
    <w:p>
      <w:r>
        <w:t>Nach dem Gesagten ging die Vorinstanz zu Recht davon aus, die fristgerechte Wiederausreise der Beschwerdeführerin aus dem Schengen-Raum sei nicht ausreichend gesichert. Entgegen der Ansicht der Be-schwerdeführerin vermögen an dieser Einschätzung die vom Vertreter unterzeichnete Unterhaltsgarantie, die Zusicherung einer fristgerechten Ausreise und das Rückflugticket nichts zu ändern. Auch wenn an der Integrität des Vertreters nicht gezweifelt werden soll, ist doch massgeblich zu berücksichtigen, dass er zwar mit rechtlich verbindlicher Wirkung für gewisse finanzielle Risiken im Zusammenhang mit dem Besuchsaufenthalt seiner Bekannten, nicht aber für ein bestimmtes Verhalten der eingeladenen Person einstehen kann (vgl. BVGE 2014/1 E. 6.3.7; BVGE 2009/27 E. 9; zuletzt Urteile des BVGer F-7568/2024 vom 6. Februar 2026 E. 6.4; F-6430/2025 vom 18. Dezember 2025 E. 5.3; je m.w.H.).</w:t>
      </w:r>
    </w:p>
    <w:p>
      <w:r>
        <w:rPr>
          <w:b/>
        </w:rPr>
        <w:t>E. 5</w:t>
      </w:r>
    </w:p>
    <w:p>
      <w:r>
        <w:t>Im Ergebnis hat die Vorinstanz das nachgesuchte Visum für den Schengen-Raum zu Recht verweigert. Gründe humanitärer oder anderer Art, welche die Erteilung eines Visums mit räumlich beschränkter Gültigkeit allenfalls zu rechtfertigen vermöchten (siehe E. 3.4 hiervor), wurden nicht geltend gemacht und sind auch nicht ersichtlich. Die angefochtene Verfügung ist rechtmässig (Art. 49 VwVG). Die Beschwerde ist abzuweisen.</w:t>
      </w:r>
    </w:p>
    <w:p>
      <w:r>
        <w:rPr>
          <w:b/>
        </w:rPr>
        <w:t>E. 6</w:t>
      </w:r>
    </w:p>
    <w:p>
      <w:r>
        <w:t>Dem Verfahrensausgang entsprechend sind die Kosten der unterliegenden Beschwerdeführerin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Angelegenheit endgültig (Art. 83 Bst. c Ziff. 1 BGG; vgl. Urteile des BGer 2C_468/2024 vom 3. Oktober 2024 E. 2; 2C_316/2024 vom 21. Juni 2024 E. 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