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F-9463/2025 vom 15. Dezember 2025</w:t>
      </w:r>
    </w:p>
    <w:p>
      <w:r>
        <w:t>Bundesverwaltungsgericht, 2025-12-15, FR</w:t>
      </w:r>
    </w:p>
    <w:p>
      <w:r>
        <w:rPr>
          <w:b/>
        </w:rPr>
        <w:t xml:space="preserve">Quelle: </w:t>
      </w:r>
      <w:r>
        <w:t>https://mcp.opencaselaw.ch/entscheid/bvger_F-9463_2025</w:t>
      </w:r>
    </w:p>
    <w:p>
      <w:r>
        <w:t>FR: TAF F-9463/2025 du 15 décembre 2025</w:t>
      </w:r>
    </w:p>
    <w:p>
      <w:r>
        <w:t>IT: TAF F-9463/2025 del 15 dicembre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applicables par renvoi des art. 6 et 105 LAsi [RS 142.31], en relation avec l'art. 83 let. d ch. 1 de la LTF). Le recourant a qualité pour recourir et le recours a été présenté dans la forme et le délai prescrits. Celui-ci est dès lors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(cf. ATAF 2017 VI/5 consid. 3.1).</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Une demande de protection internationale est examinée par un seul Etat membre, qui est celui que les critères énoncés au chapitre III du règlement Dublin III désignent comme responsable (art. 3 par. 1 RD III). Le processus de détermination de l'Etat membre responsable est engagé aussitôt qu'une demande de protection internationale a été déposée pour la première fois dans un Etat membre (cf. art. 20 par. 1 RD III), étant précisé que c'est en principe la situation de fait existant à ce moment-là qui est déterminante (art. 7 par. 2 RD III). Sous réserve du respect des modalités fixées par le RD III, l'Etat membre auprès duquel la demande de protection internationale a été introduite pour la première fois est tenu de reprendre en charge, en vue d'achever le processus de détermination de l'Etat membre responsable, le demandeur qui se trouve dans un autre Etat membre sans titre de séjour et qui y a introduit une demande de protection internationale après avoir retiré sa première demande (cf. art. 20 par. 5 RD III).</w:t>
      </w:r>
    </w:p>
    <w:p>
      <w:r>
        <w:rPr>
          <w:b/>
        </w:rPr>
        <w:t>E. 3.3</w:t>
      </w:r>
    </w:p>
    <w:p>
      <w:r>
        <w:t>En ce qui concerne la demande de reprise en charge adressée à la Croatie et la réponse positive y relative, tant les autorités suisses que leurs homologues croates ont agi dans le respect des délais prévus aux art. 23 par. 2 et 25 par. 1 RD III.</w:t>
      </w:r>
    </w:p>
    <w:p>
      <w:r>
        <w:rPr>
          <w:b/>
        </w:rPr>
        <w:t>E. 3.4</w:t>
      </w:r>
    </w:p>
    <w:p>
      <w:r>
        <w:t>Le recourant a indiqué avoir été forcé de donner ses empreintes à la frontière croate (cf. procès-verbal de l'entretien Dublin du 3 novembre 2025). Dans la mesure où il entendrait contester la compétence de la Croatie sur cette base, il est rappelé qu'en procédant au relevé des empreintes de l'intéressé lors de son interpellation, les autorités croates se sont conformées à leur obligation découlant des art. 9 par. 1 et 14 par. 1 du règlement Eurodac (référence complète : règlement [UE] n° 603/2013 du Parlement européen et du Conseil du 26 juin 2013, relatif à la création d'Eurodac ; cf. également arrêt du TAF E-1386/2022 du 19 avril 2023 consid. 5.4.3).</w:t>
      </w:r>
    </w:p>
    <w:p>
      <w:r>
        <w:rPr>
          <w:b/>
        </w:rPr>
        <w:t>E. 3.5</w:t>
      </w:r>
    </w:p>
    <w:p>
      <w:r>
        <w:t>Au vu de ce qui précède, force est de constater que la Croatie a reconnu sa responsabilité pour achever le processus de détermination de l'Etat membre responsable.</w:t>
      </w:r>
    </w:p>
    <w:p>
      <w:r>
        <w:rPr>
          <w:b/>
        </w:rPr>
        <w:t>E. 4.1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4.2</w:t>
      </w:r>
    </w:p>
    <w:p>
      <w:r>
        <w:t>De jurisprudence constante,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depuis lors confirmé et actualisé à de réitérées reprises, par exemple, dans les arrêts F-8997/2025 du 28 novembre 2025 consid. 3.1 ; F-8557/2025 du 13 novembre 2025 consid. 3.2 ; F-8169/2025 du 31 octobre 2025 consid. 3.2).</w:t>
      </w:r>
    </w:p>
    <w:p>
      <w:r>
        <w:rPr>
          <w:b/>
        </w:rPr>
        <w:t>E. 4.3</w:t>
      </w:r>
    </w:p>
    <w:p>
      <w:r>
        <w:t>Par voie de conséquence, en l'absence d'une pratique actuelle avérée en Croatie de violations systématiques des normes communautaires et conventionnelles en la matière, la présomption de respect par cet Etat de ses obligations concernant les droits des requérants d'asile, dans le cadre d'une procédure Dublin, n'est pas renversée. L'application de l'art. 3par. 2 al. 2 RD III ne se justifie donc pas en l'espèce (cf. ATAF 2017 VI/5 consid. 8.4).</w:t>
      </w:r>
    </w:p>
    <w:p>
      <w:r>
        <w:rPr>
          <w:b/>
        </w:rPr>
        <w:t>E. 5.1</w:t>
      </w:r>
    </w:p>
    <w:p>
      <w:r>
        <w:t>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 2017 VI/5 consid. 8.5.2 ; sur la nature facultative de l'art. 17 par. 1 RD III,cf., néanmoins, arrêts de la CJUE C-359/22 du 18 avril 2024 [§ 38 à 40] et C-578/16 du 16 février 2017 [§ 97 et ch. 2 du dispositif]).</w:t>
      </w:r>
    </w:p>
    <w:p>
      <w:r>
        <w:rPr>
          <w:b/>
        </w:rPr>
        <w:t>E. 5.2</w:t>
      </w:r>
    </w:p>
    <w:p>
      <w:r>
        <w:t>Il sied de retenir que l'intéressé, qui n'est demeuré sur le territoire croate que peu de temps après son interpellation par la police, n'a pas apporté d'indices objectifs, concrets et sérieux qu'il serait privé durablement, en Croatie, de tout accès aux conditions matérielles d'accueil prévues par la directive Accueil (référence complète : directive n° 2013/33/UE du Parlement européen et du Conseil du 26 juin 2013 établissant des normes pour l'accueil des personnes demandant la protection internationale) et qu'il ne pourrait pas bénéficier de l'aide nécessaire pour faire valoir ses droits. Enfin, il n'a pas démontré que ses conditions d'existence dans ce pays revêtiraient un tel degré de pénibilité et de gravité qu'elles seraient constitutives d'un traitement contraire à l'art. 3 CEDH. Si l'intéressé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F-8557/2025 du 13 novembre 2025 consid. 3.4).</w:t>
      </w:r>
    </w:p>
    <w:p>
      <w:r>
        <w:rPr>
          <w:b/>
        </w:rPr>
        <w:t>E. 5.3</w:t>
      </w:r>
    </w:p>
    <w:p>
      <w:r>
        <w:t>Au surplus, le règlement Dublin III ne confère pas aux demandeurs d'asile le droit de choisir l'Etat membre offrant, à leur avis, les meilleures conditions d'accueil comme Etat responsable de l'examen de leur demande d'asile (cf. ATAF 2010/45 consid. 8.3).</w:t>
      </w:r>
    </w:p>
    <w:p>
      <w:r>
        <w:rPr>
          <w:b/>
        </w:rPr>
        <w:t>E. 5.4</w:t>
      </w:r>
    </w:p>
    <w:p>
      <w:r>
        <w:t>En ce qui concerne les allégations du recourant indiquant avoir été victime de la traite des êtres humains, le Tribunal se détermine comme suit :</w:t>
      </w:r>
    </w:p>
    <w:p>
      <w:r>
        <w:rPr>
          <w:b/>
        </w:rPr>
        <w:t>E. 5.4.1</w:t>
      </w:r>
    </w:p>
    <w:p>
      <w:r>
        <w:t>En entendant le recourant sur les faits qui se sont déroulés en Libye, l'autorité inférieure a instruit cette question de sorte à pouvoir déterminer si l'intéressé était une victime de la traite, ce qu'elle a finalement nié. Par ailleurs, il ressort de la motivation étayée de la décision attaquée que le SEM a pris en compte, dans sa décision, les épreuves traversées par le recourant en rapport avec ce qu'il considère comme une infraction de traite des êtres humains.</w:t>
      </w:r>
    </w:p>
    <w:p>
      <w:r>
        <w:rPr>
          <w:b/>
        </w:rPr>
        <w:t>E. 5.4.2</w:t>
      </w:r>
    </w:p>
    <w:p>
      <w:r>
        <w:t>Sans minimiser la gravité des faits relatés, le Tribunal relève que le recourant a indiqué que tous les faits ayant trait à cette infraction ont eu lieu en Libye. Dès lors, même à retenir que le recourant ait été la victime de traite d'êtres humains, il n'y aurait manifestement pas de risque de re-trafficking ou de représailles en cas de transfert en Croatie. La Croatie est, par ailleurs, partie à la Convention du 16 mai 2005 sur la lutte contre la traite des êtres humains (RS 0311.543) et au Protocole additionnel à la Convention des Nations Unies contre la criminalité transnationale organisée visant à prévenir, réprimer et punir la traite des personnes, en particulier des femmes et des enfants (RS 0311.542), de sorte qu'il y a lieu de présumer que l'intéressé pourrait également obtenir une protection à son retour en Croatie.</w:t>
      </w:r>
    </w:p>
    <w:p>
      <w:r>
        <w:rPr>
          <w:b/>
        </w:rPr>
        <w:t>E. 5.4.3</w:t>
      </w:r>
    </w:p>
    <w:p>
      <w:r>
        <w:t>Au vu de ce qui précède, on ne saurait donc reprocher au SEM de n'avoir pas fait usage de l'art. 17 par. 1 RD III à cet égard.</w:t>
      </w:r>
    </w:p>
    <w:p>
      <w:r>
        <w:rPr>
          <w:b/>
        </w:rPr>
        <w:t>E. 5.5</w:t>
      </w:r>
    </w:p>
    <w:p>
      <w:r>
        <w:t>En ce qui concerne l'état de santé de l'intéressé, le Tribunal se détermine comme suit :</w:t>
      </w:r>
    </w:p>
    <w:p>
      <w:r>
        <w:rPr>
          <w:b/>
        </w:rPr>
        <w:t>E. 5.5.1</w:t>
      </w:r>
    </w:p>
    <w:p>
      <w:r>
        <w:t>Selon la jurisprudence de la Cour EDH (cf., notamment, arrêts de la Cour EDH Paposhvili contre Belgique [GC] du 13 décembre 2016, req. no 41738/10 et Savran c. Danemark [GC] du 7 décembre 2021, req. no 57467/15, par. 122 à 139),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 66 à 68 ainsi qu'ATAF 2017 VI/7 consid. 6.2 et ATAF 2011/9 consid. 7.1).</w:t>
      </w:r>
    </w:p>
    <w:p>
      <w:r>
        <w:rPr>
          <w:b/>
        </w:rPr>
        <w:t>E. 5.5.2</w:t>
      </w:r>
    </w:p>
    <w:p>
      <w:r>
        <w:t>La Croatie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Cas échéant, il incomberait au recourant de faire valoir ses droits directement auprès des autorités compétentes en Croatie, en usant des voies de droit idoines (art. 26 directive Accueil).</w:t>
      </w:r>
    </w:p>
    <w:p>
      <w:r>
        <w:rPr>
          <w:b/>
        </w:rPr>
        <w:t>E. 5.5.3</w:t>
      </w:r>
    </w:p>
    <w:p>
      <w:r>
        <w:t>En l'occurrence, le recourant a déclaré, lors de son entretien Dublin, souffrir de douleurs à la jambe ainsi qu'à la tête, en raison des mauvais traitements qu'il aurait subis en Croatie. Il avait aussi des vertiges par moment. Il a précisé avoir reçu un traitement pour ces douleurs via l'infirmerie du centre fédéral. Sur le plan psychologique, il souffrait de séquelles psychologiques, en particulier de cauchemars récurrents en lien avec son parcours migratoire. Compte tenu des problèmes d'ordre médical invoqués par l'intéressé, rien ne laisse penser qu'en cas de transfert vers la Croatie, il risquerait d'être exposé à un déclin grave, rapide et irréversible de son état de santé. Les problèmes de santé invoqués par le recourant ne sont pas révélateurs de maladies d'une gravité ou d'une spécificité telle qu'elles ne pourraient pas être traitées dans cet Etat. Il ressort de la jurisprudence que les requérants d'asile ont accès à des prestations de soins, y compris psychologiques ou psychiatriques en Croatie (cf. arrêts du TAF F-5174/2025 du 23 juillet 2025 consid. 5.6.4 ; F-4789/2025 du 9 juillet 2025 consid. 6.5 ; Asylum Information Database [AIDA] Country Report Croatia, Update 2024, p. 117 s., &lt; https://asylumineurope.org/wp-content/uploads/2025/08/AIDA-HR_2024-Update.pdf &gt; [consulté le 10 décembre 2025]).</w:t>
      </w:r>
    </w:p>
    <w:p>
      <w:r>
        <w:rPr>
          <w:b/>
        </w:rPr>
        <w:t>E. 5.5.4</w:t>
      </w:r>
    </w:p>
    <w:p>
      <w:r>
        <w:t>En conséquence, il y a lieu de retenir que les problèmes de santé dont le recourant est atteint - et dont le Tribunal ne remet pas en cause l'importance - ne sauraient faire obstacle à l'exécution de son transfert vers la Croatie.</w:t>
      </w:r>
    </w:p>
    <w:p>
      <w:r>
        <w:rPr>
          <w:b/>
        </w:rPr>
        <w:t>E. 5.5.5</w:t>
      </w:r>
    </w:p>
    <w:p>
      <w:r>
        <w:t>Cela étant, il incombera aux autorités suisses chargées de l'exécution du transfert de transmettre à leurs homologues croates, en temps utile, les renseignements permettant une prise en charge médicale adéquate du recourant (art. 31 et 32 RD III), celui-ci ayant donné son accord écrit à la transmission d'informations médicales.</w:t>
      </w:r>
    </w:p>
    <w:p>
      <w:r>
        <w:rPr>
          <w:b/>
        </w:rPr>
        <w:t>E. 5.6</w:t>
      </w:r>
    </w:p>
    <w:p>
      <w:r>
        <w:t>En résumé, le recourant n'a pas renversé la présomption selon laquelle la Croatie respecte ses obligations tirées du droit international public. Il n'a pas davantage démontré que ses conditions d'existence dans ce pays revêtiraient un tel degré de pénibilité et de gravité qu'elles seraient constitutives d'un traitement contraire à l'art. 3 CEDH. Son transfert vers cet Etat n'est donc pas contraire aux obligations de la Suisse découlant des dispositions conventionnelles auxquelles cette dernière est liée.</w:t>
      </w:r>
    </w:p>
    <w:p>
      <w:r>
        <w:rPr>
          <w:b/>
        </w:rPr>
        <w:t>E. 6</w:t>
      </w:r>
    </w:p>
    <w:p>
      <w:r>
        <w:t>Au vu de tout ce qui précède,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(cf. ATAF 2015/9 consid. 8). C'est aussi à raison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7.1</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7.2</w:t>
      </w:r>
    </w:p>
    <w:p>
      <w:r>
        <w:t>Dans la mesure où il a été immédiatement statué sur le fond, la requête formulée dans le recours tendant à l'octroi de l'effet suspensif est sans objet. En outre, le litige prenant fin, les mesures superprovisionnelles prononcées le 9 décembre 2025 sont caduques.</w:t>
      </w:r>
    </w:p>
    <w:p>
      <w:r>
        <w:rPr>
          <w:b/>
        </w:rPr>
        <w:t>E. 8.1</w:t>
      </w:r>
    </w:p>
    <w:p>
      <w:r>
        <w:t>Les conclusions du recours étant d'emblée vouées à l'échec, la demande d'assistance judiciaire est rejetée.</w:t>
      </w:r>
    </w:p>
    <w:p>
      <w:r>
        <w:rPr>
          <w:b/>
        </w:rPr>
        <w:t>E. 8.2</w:t>
      </w:r>
    </w:p>
    <w:p>
      <w:r>
        <w:t>Vue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