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F-945/2021 vom 10. März 2021</w:t>
      </w:r>
    </w:p>
    <w:p>
      <w:r>
        <w:t>Bundesverwaltungsgericht, 2021-03-10, DE</w:t>
      </w:r>
    </w:p>
    <w:p>
      <w:r>
        <w:rPr>
          <w:b/>
        </w:rPr>
        <w:t xml:space="preserve">Quelle: </w:t>
      </w:r>
      <w:r>
        <w:t>https://mcp.opencaselaw.ch/entscheid/bvger_F-945_2021</w:t>
      </w:r>
    </w:p>
    <w:p>
      <w:r>
        <w:t>FR: TAF F-945/2021 du 10 mars 2021</w:t>
      </w:r>
    </w:p>
    <w:p>
      <w:r>
        <w:t>IT: TAF F-945/2021 del 10 marzo 2021</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Gemäss Art. 105 AsylG i.V.m. Art. 31 VGG ist das Bundesverwaltungsgericht zur Beurteilung von Beschwerden auf dem Gebiet des Asyls zuständig und entscheidet über diese in der Regel - wie auch vorliegend - endgültig (vgl. Art. 83 Bst. d Ziff. 1 BGG). Der Beschwerdeführer ist zur Beschwerdeführung legitimiert (Art. 48 Abs. 1 VwVG). Da die Beschwerde am 24. Februar 2021 beim SEM eingegangen ist, ist davon auszugehen, dass sie spätestens am 23. Februar 2021 der Post übergeben wurde. Auf die frist- und formgerecht eingereichte Beschwerde ist dementsprechend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3.3</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und das SEM kann das Asylgesuch gemäss dieser Bestimmung «aus humanitären Gründen» auch dann behandeln, wenn dafür gemäss Dublin-III-VO ein anderer Staat zuständig wäre.</w:t>
      </w:r>
    </w:p>
    <w:p>
      <w:r>
        <w:rPr>
          <w:b/>
        </w:rPr>
        <w:t>E. 3.4</w:t>
      </w:r>
    </w:p>
    <w:p>
      <w:r>
        <w:t>Der Beschwerdeführer bestreitet nicht, in den Niederlanden ein Asylgesuch eingereicht zu haben. Nachdem die niederländischen Behörden innert der in Art. 25 Abs. 1 Dublin-III-VO festgelegten Frist dem Wiederaufnahmegesuch der Vorinstanz zugestimmt haben, ist die Zuständigkeit der Niederlande grundsätzlich gegeben. Daran vermag auch die Tatsache nichts zu ändern, dass der Beschwerdeführer angeblich mit einer in der Schweiz wohnhaften Frau verheiratet ist. So hat der Beschwerdeführer vor der Vorinstanz selber dargelegt, dass er erst zwei Tage mit seiner Ehefrau zusammengelebt habe. Da im Wiederaufnahmeverfahren - wie hier - grundsätzlich (d.h. vorbehältlich der in Art. 7 Abs. 3 Dublin-III-VO genannten Ausnahmen) keine neue Zuständigkeitsprüfung nach Kapitel III Dublin-III-VO stattfindet (vgl. E. 3.2 hiervor), kann bzw. könnte sich der Beschwerdeführer nicht auf die Zuständigkeit der Schweiz gestützt auf Art. 9 i.V.m. Art. 2 Bst. g Dublin-III-VO berufen.</w:t>
      </w:r>
    </w:p>
    <w:p>
      <w:r>
        <w:rPr>
          <w:b/>
        </w:rPr>
        <w:t>E. 4.1</w:t>
      </w:r>
    </w:p>
    <w:p>
      <w:r>
        <w:t>Der Beschwerdeführer bringt im Rechtsmittelverfahren sinngemäss vor, dass sich seine Situation kürzlich geändert habe und deshalb auf sein Asylgesuch einzutreten sei. Er bittet darum, ihm Zeit einzuräumen, um seine veränderten Umstände darzulegen.</w:t>
      </w:r>
    </w:p>
    <w:p>
      <w:r>
        <w:rPr>
          <w:b/>
        </w:rPr>
        <w:t>E. 4.2</w:t>
      </w:r>
    </w:p>
    <w:p>
      <w:r>
        <w:t>Im Rahmen Dublin-Gesprächs vom 1. Februar 2021 hat der Beschwerdeführer angegeben, er sei in den Niederlanden schlecht behandelt worden. Man habe ihm gesagt, dass er ohne Aufenthaltsbewilligung keine Medikamente erhalte, und ihm nur Schmerzmittel gegeben. Zudem habe ihm seine Anwältin in den Niederlanden gesagt, sie wolle mit der UNRWA (Hilfswerk der Vereinten Nationen für Palästina-Flüchtlinge im Nahen Osten) Kontakt aufnehmen. Dies würde sowohl ihn als auch seine Familie in Gefahr bringen, da die Jordanier so von seinem Asylantrag in Europa erfahren würden.</w:t>
      </w:r>
    </w:p>
    <w:p>
      <w:r>
        <w:rPr>
          <w:b/>
        </w:rPr>
        <w:t>E. 4.3</w:t>
      </w:r>
    </w:p>
    <w:p>
      <w:r>
        <w:t>Wie die Vorinstanz zutreffend festgehalten hat, gibt es keine wesentlichen Gründe für die Annahme, das Asylverfahren und die Aufnahmebedingungen für asylsuchende Personen in den Niederlanden hätten Schwachstellen im Sinne von Art. 3 Abs. 2 zweiter und dritter Satz Dublin-III-VO, die eine Gefahr einer unmenschlichen Behandlung im Sinne des Artikels 4 der EU-Grundrechtcharta und Art. 3 EMRK mit sich bringen würden. Was das niederländische Anwaltsmandat betrifft, ist darauf hinzuweisen, dass der Beschwerdeführer seine Anwältin ohne weiteres anweisen kann, keinen Kontakt mit der UNRWA aufzunehmen.</w:t>
      </w:r>
    </w:p>
    <w:p>
      <w:r>
        <w:rPr>
          <w:b/>
        </w:rPr>
        <w:t>E. 4.4</w:t>
      </w:r>
    </w:p>
    <w:p>
      <w:r>
        <w:t>Die Vorinstanz hat sodann die Anwendung des Selbsteintrittsrechts im Sinne von Art. 17 Abs. 1 Dublin-III-VO sowie Art. 29a Abs. 3 AsylV 1 zu Recht verneint. Die Ehe des Beschwerdeführers (sofern sie denn anerkannt würde) wurde am 5. September 2020 in Deutschland geschlossen; ein Zusammenleben hat nicht stattgefunden. Es kann folglich nicht von einer dauerhaften Beziehung ausgegangen werden (zur gelebten Beziehung im Sinne von Art. 8 EMRK vgl. Urteil des BVGer D-4076/2011 vom 25. Juli 2011), was eine Berufung auf Art. 8 Ziff. 1 EMRK von vornherein ausschliesst. Auch die Migräneanfälle des Beschwerdeführers stellen kein Hindernis für seine Überstellung in die Niederlande dar. Es gibt keinen Grund zur Annahme, dass ihm in den Niederlanden die notwendige medizinische Behandlung verweigert werden würde. Wie die Vorinstanz in der angefochtenen Verfügung bereits aufgezeigt hat, werden die schweizerischen Behörden, die mit dem Vollzug der angefochtenen Verfügung beauftragt sind, den medizinischen Umständen bei der Bestimmung der konkreten Modalitäten der Überstellung Rechnung tragen und die niederländischen Behörden vorgängig in geeigneter Weise über die spezifischen Gegebenheiten informieren (vgl. Art. 31 f. Dublin-III-VO). Ein Selbsteintritt aus humanitären Gründen ist bei dieser Sachlage nicht angezeigt. Die Vorinstanz ist demnach zu Recht gestützt auf Art. 31a Abs. 1 Bst. b AsylG auf das Asylgesuch des Beschwerdeführers nicht eingetreten und hat die Wegweisung in die Niederlande angeordnet.</w:t>
      </w:r>
    </w:p>
    <w:p>
      <w:r>
        <w:rPr>
          <w:b/>
        </w:rPr>
        <w:t>E. 5</w:t>
      </w:r>
    </w:p>
    <w:p>
      <w:r>
        <w:t>Nach dem Gesagten ist die Beschwerde abzuweisen. Mit dem vorliegenden Urteil fällt der am 4. März 2021 angeordnete Vollzugsstopp dahin.</w:t>
      </w:r>
    </w:p>
    <w:p>
      <w:r>
        <w:rPr>
          <w:b/>
        </w:rPr>
        <w:t>E. 6</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