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F-9415/2025 vom 18. Dezember 2025</w:t>
      </w:r>
    </w:p>
    <w:p>
      <w:r>
        <w:t>Bundesverwaltungsgericht, 2025-12-18, DE</w:t>
      </w:r>
    </w:p>
    <w:p>
      <w:r>
        <w:rPr>
          <w:b/>
        </w:rPr>
        <w:t xml:space="preserve">Quelle: </w:t>
      </w:r>
      <w:r>
        <w:t>https://mcp.opencaselaw.ch/entscheid/bvger_F-9415_2025</w:t>
      </w:r>
    </w:p>
    <w:p>
      <w:r>
        <w:t>FR: TAF F-9415/2025 du 18 décembre 2025</w:t>
      </w:r>
    </w:p>
    <w:p>
      <w:r>
        <w:t>IT: TAF F-9415/2025 del 18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c Dublin-III-VO grundsätzlich die Niederlande für die Behandlung des Asylgesuchs des Beschwerdeführers zuständig sind. Gemäss Art. 19 Abs. 2 Dublin-III-VO erlöschen grundsätzlich Pflichten nach Art. 18 Abs. 1 Dublin-III-VO, wenn der zuständige Mitgliedstaat nachweisen kann, dass der Antragssteller, um dessen Wiederaufnahme er ersucht wurde, das Hoheitsgebiet der Mitgliedstaaten für mindestens drei Monate verlassen hat. Der Beschwerdeführer behauptete im Dublin-Gespräch, er habe den Dublin-Raum «ungefähr Ende 2023 oder Anfang 2024» verlassen und sei «im Januar/Februar 2024» auf dem Landweg in die Türkei gereist und habe darauf im April 2025 Istanbul in Richtung Griechenland verlassen. Der Beschwerdeführer liess die ihm bis 21. November 2025 gesetzte Frist zur Einreichung von Beweismitteln zu dieser Behauptung ungenutzt verstreichen. Im Wiederaufnahmeersuchen vom 18. November 2025 hat die Vorinstanz gegenüber den niederländischen Behörden ordnungsgemäss die Behauptung des Beschwerdeführers bezüglich des Verlassens des Dublin-Raums wiedergegeben. Ein betreffend Art. 19 Abs. 2 Dublin-III-VO relevantes Vorbringen ist dem ersuchten Mitgliedstaat - gegebenenfalls mit einer nachvollziehbaren negativen Glaubwürdigkeitseinschätzung - zu übermitteln (vgl. Anhang II, Verzeichnis B, Ziff. 9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[DVO, ABl. L 222/2 vom 5.9.2003], wonach als «Indizien» für eine Ausreise aus dem Hoheitsgebiet der Mitgliedstaaten unter anderem ausführliche und nachprüfbare Erklärungen des Antragsstellers gelten). Die Niederlande haben in Kenntnis dieser Behauptung das Wiederaufnahmegesuch gutgeheissen und sich nicht auf Art. 19 Abs. 2 Dublin-III-VO - berufen. Die nach Erlass der angefochtenen Verfügung am 1. Dezember 2025 eingereichte Buchungs- sowie Zahlungsbestätigung für einen Hotelaufenthalt in Istanbul vom 10. September 2024 bis 14. September 2024 vermag keinen Aufenthalt des Beschwerdeführers von mindestens drei Monaten ausserhalb des Dublin-Raums zu belegen.</w:t>
      </w:r>
    </w:p>
    <w:p>
      <w:r>
        <w:rPr>
          <w:b/>
        </w:rPr>
        <w:t>E. 2.2</w:t>
      </w:r>
    </w:p>
    <w:p>
      <w:r>
        <w:t>Weiter hat die Vorinstanz zutreffend erwogen, dass das niederländische Asylsystem rechtsprechungsgemäss keine systemischen Mängel aufweist, aufgrund derer die Zuständigkeit gemäss Art. 3 Abs. 2 zweiter Unterabsatz Dublin-III-VO auf die Schweiz überginge. Darüber hinaus hat die Vorinstanz zutreffend festgehalten, dass vorliegend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von einem freiwilligen Selbsteintritt der Schweiz abgesehen. Die Vorinstanz ist somit zu Recht in Anwendung von Art. 31a Abs. 1 Bst. b AsylG auf das Asylgesuch des Beschwerdeführers nicht eingetreten und hat gestützt auf Art. 44 AsylG seine Wegweisung in die Niederlande angeordnet. Zur näheren Begründung wird auf die Erwägungen der Vorinstanz verwiesen.</w:t>
      </w:r>
    </w:p>
    <w:p>
      <w:r>
        <w:rPr>
          <w:b/>
        </w:rPr>
        <w:t>E. 2.3</w:t>
      </w:r>
    </w:p>
    <w:p>
      <w:r>
        <w:t>Was der Beschwerdeführer auf Rechtsmittelebene vorbringt, vermag an der Richtigkeit der angefochtenen Verfügung nichts zu ändern. In der Beschwerdebegründung führt er aus, in den Niederlanden möchte man ihn in sein Heimatland abschieben, wo ihm der Tod drohe. Soweit damit mit der Gefahr einer Kettenabschiebung argumentiert wird, ist darauf hinzuweisen, dass ohne die Feststellung, dass das Asylverfahren im ersuchten Mitgliedstaat systemische Schwachstellen aufweist, nicht geprüft werden darf,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w:t>
      </w:r>
    </w:p>
    <w:p>
      <w:r>
        <w:rPr>
          <w:b/>
        </w:rPr>
        <w:t>E. 3</w:t>
      </w:r>
    </w:p>
    <w:p>
      <w:r>
        <w:t>Weiter ist nicht ersichtlich - und wird vom Beschwerdeführer auch nicht begründet -, warum im Sinne des Eventualantrags die Sache zur vollständigen Feststellung des Sachverhaltes und zur Neubeurteilung an die Vorinstanz zurückzuweisen ist.</w:t>
      </w:r>
    </w:p>
    <w:p>
      <w:r>
        <w:rPr>
          <w:b/>
        </w:rPr>
        <w:t>E. 4</w:t>
      </w:r>
    </w:p>
    <w:p>
      <w:r>
        <w:t>Nach dem Gesagten ist die angefochtene Verfügung vom 28. November 2025 nicht zu beanstanden und die Beschwerde ist abzuweisen.</w:t>
      </w:r>
    </w:p>
    <w:p>
      <w:r>
        <w:rPr>
          <w:b/>
        </w:rPr>
        <w:t>E. 5</w:t>
      </w:r>
    </w:p>
    <w:p>
      <w:r>
        <w:t>Das Gesuch um Gewährung der aufschiebenden Wirkung ist mit vorliegendem Urteil gegenstandlos geworden und der am 8. Dezember 2025 angeordnete Vollzugsstopp fällt dahin.</w:t>
      </w:r>
    </w:p>
    <w:p>
      <w:r>
        <w:rPr>
          <w:b/>
        </w:rPr>
        <w:t>E. 6</w:t>
      </w:r>
    </w:p>
    <w:p>
      <w:r>
        <w:t>Das Gesuch um unentgeltliche Prozessführung samt Rechtsverbeiständung ist abzuweisen, da die Beschwerde, wie sich aus den vorstehenden Erwägungen ergibt, als aussichtslos zu bezeichnen ist (vgl. Art. 65 Abs. 1 VwVG). Bei dem Ausgang des Verfahrens sind die Kosten dem Beschwerdeführer aufzuerlegen (Art. 63 Abs. 1 VwVG) und auf Fr. 750.- festzusetzen (Art. 1-3 des Reglements vom 21. Februar 2008 über die Kosten und Entschädigungen vor dem Bundesverwaltungsgericht [VGKE, SR 173.320.2]).</w:t>
      </w:r>
    </w:p>
    <w:p>
      <w:r>
        <w:rPr>
          <w:b/>
        </w:rPr>
        <w:t>E. 7</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