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F-935/2022 vom 19. September 2022</w:t>
      </w:r>
    </w:p>
    <w:p>
      <w:r>
        <w:t>Bundesverwaltungsgericht, 2022-09-19, FR</w:t>
      </w:r>
    </w:p>
    <w:p>
      <w:r>
        <w:rPr>
          <w:b/>
        </w:rPr>
        <w:t xml:space="preserve">Quelle: </w:t>
      </w:r>
      <w:r>
        <w:t>https://mcp.opencaselaw.ch/entscheid/bvger_F-935_2022</w:t>
      </w:r>
    </w:p>
    <w:p>
      <w:r>
        <w:t>FR: TAF F-935/2022 du 19 septembre 2022</w:t>
      </w:r>
    </w:p>
    <w:p>
      <w:r>
        <w:t>IT: TAF F-935/2022 del 19 settembre 2022</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recevable(cf.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Il s'agit tout d'abord de définir l'objet du litige au vu de la portée du recours et des observations du recourant du 8 juillet 2022 (cf. act. 1 et 13 TAF).</w:t>
      </w:r>
    </w:p>
    <w:p>
      <w:r>
        <w:rPr>
          <w:b/>
        </w:rPr>
        <w:t>E. 3.1</w:t>
      </w:r>
    </w:p>
    <w:p>
      <w:r>
        <w:t>L'objet du litige dans la procédure de recours est le rapport juridique réglé dans la décision attaquée, dans la mesure où, d'après les conclusions du recours, il est remis en question par la partie recourante (cf. arrêts du Tribunal fédéral [ci-après : TF] 2C_470/2017 du 6 mars 2018 consid. 3.1, 2C_53/2017 du 21 juillet 2017 consid. 5.1 et 2C_929/2014 du 10 août 2015 consid. 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(cf. ATF 144 II 359 consid. 4.3 et 125 V 413 consid. 1b ; arrêt du TF 2C_53/2017 précité consid. 5.1). L'objet du litige peut donc être réduit par rapport à l'objet de la contestation. Il ne peut en revanche, sauf exceptions non pertinentes en l'espèce (cf. arrêts du TF 9C_509/2015 du 15 février 2016 consid. 3, 9C_636/2014 du 10 novembre 2014 consid. 3.1 et 9C_678/2011 du 4 janvier 2012 consid. 3.1), s'étendre au-delà de celui-ci (cf. ATF 136 II 457 consid. 4.2 et 136 II 165 consid. 5).</w:t>
      </w:r>
    </w:p>
    <w:p>
      <w:r>
        <w:rPr>
          <w:b/>
        </w:rPr>
        <w:t>E. 3.2</w:t>
      </w:r>
    </w:p>
    <w:p>
      <w:r>
        <w:t>Concrètement, la décision attaquée consiste en une interdiction d'entrée pour la Suisse et le Liechtenstein et en une inscription dans le SIS II (cf. act. 1 TAF). De ces deux points du dispositif, le recourant ne conteste que le signalement d'interdiction d'entrée dans le SIS II, comme cela ressort sans équivoque tant du recours que des observations précitées. Cela étant, compte tenu du rapport accessoire entre l'interdiction d'entrée et le signalement au SIS, il est nécessaire de procéder, à titre préjudiciel, à l'analyse de la légalité de l'interdiction d'entrée (cf. infra consid. 4, 5 et 7) avant d'examiner si la publication de celle-ci dans le SIS, seul objet du litige, est justifiée (cf. infra consid. 8 ; ATAF 2019 VII/2 consid. 4.3).</w:t>
      </w:r>
    </w:p>
    <w:p>
      <w:r>
        <w:rPr>
          <w:b/>
        </w:rPr>
        <w:t>E. 4.1</w:t>
      </w:r>
    </w:p>
    <w:p>
      <w:r>
        <w:t>L'interdiction d'entrée est régie par l'art. 67 LEI. Aux termes de l'art. 67 al. 1 LEI, le SEM interdit l'entrée en Suisse, sous réserve de l'al. 5, à un étranger frappé d'une décision de renvoi lorsque le renvoi est immédiatement exécutoire en vertu de l'art. 64d al. 2 let. a à c LEI (let. a) ou lorsque l'étranger n'a pas quitté la Suisse dans le délai imparti (let. b). Ces conditions sont alternatives (cf. Message du Conseil fédéral sur l'approbation et la mise en oeuvre de l'échange de notes entre la Suisse et la CE [ci-après: Message directive retour] concernant la reprise de la directive CE sur le retour [directive 2008/115/CE; ci-après: directive retour] [développement de l'acquis Schengen], FF 2009 8057). Selon l'art. 67 al. 2 LEI, le SEM peut notamment interdire l'entrée en Suisse à un étranger s'il a attenté à la sécurité et à l'ordre publics en Suisse ou à l'étranger ou les a mis en danger (let. a). Lorsque l'art. 67 al. 2 LEI s'applique, l'autorité compétente vérifie,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En revanche, une interdiction d'entrée doit en règle générale être prononcée à l'endroit d'un étranger frappé d'une décision de renvoi lorsque celui-ci est immédiatement exécutoire en vertu de l'art. 64d al. 2 let. a à c LEI ou lorsque l'étranger n'a pas quitté la Suisse dans le délai imparti (cf. art. 67 al. 1 LEI). En pareil cas, le pouvoir d'appréciation de l'autorité est en effet très restreint (cf. Message directive retour, FF 2009 8057 ainsi qu'arrêt du TAF F-3271/2016 du 17 septembre 2018 consid. 4.2 et 4.3).</w:t>
      </w:r>
    </w:p>
    <w:p>
      <w:r>
        <w:rPr>
          <w:b/>
        </w:rPr>
        <w:t>E. 4.2</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4.3</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Une interdiction d'entrée peut notamment être prononcée lorsque l'étranger a violé les prescriptions du droit en matière d'étrangers (cf. Message LEtr, FF 2002 3469, 3568). Selon la jurisprudence constante du Tribunal de céans, le fait d'entrer, de séjourner ou de travailler en Suisse sans autorisation représente une violation grave des prescriptions de police des étrangers (cf., notamment, arrêts du TAF F-3447/2020 du 23 novembre 2021 consid. 5.2, F-4165/2019 du 16 juillet 2021 consid. 6.3 et F-2581/2016 du 21 février 2018 consid. 5.3).</w:t>
      </w:r>
    </w:p>
    <w:p>
      <w:r>
        <w:rPr>
          <w:b/>
        </w:rPr>
        <w:t>E. 4.4</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 ; arrêt du TAF C-6383/2014 du 6 juin 2016 consid. 5.2).</w:t>
      </w:r>
    </w:p>
    <w:p>
      <w:r>
        <w:rPr>
          <w:b/>
        </w:rPr>
        <w:t>E. 4.5.1</w:t>
      </w:r>
    </w:p>
    <w:p>
      <w:r>
        <w:t>Si un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faits(cf., notamment, ATF 136 II 447 consid. 3.1 et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et 129 II 312 consid. 2.4 ; arrêt du TF 2A.391/2003 du 30 août 2004 consid. 3.5).</w:t>
      </w:r>
    </w:p>
    <w:p>
      <w:r>
        <w:rPr>
          <w:b/>
        </w:rPr>
        <w:t>E. 4.5.2</w:t>
      </w:r>
    </w:p>
    <w:p>
      <w:r>
        <w:t>L'octroi d'un sursis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 voir également l'arrêt du TF 2C_814/2011 du 16 décembre 2011 consid. 2.2 et l'arrêt du TAFF-3447/2020 du 23 novembre 2021 consid. 5.6).</w:t>
      </w:r>
    </w:p>
    <w:p>
      <w:r>
        <w:rPr>
          <w:b/>
        </w:rPr>
        <w:t>E. 5.1</w:t>
      </w:r>
    </w:p>
    <w:p>
      <w:r>
        <w:t>D'abord, il convient d'examiner incidemment (ATAF 2019 VII/2 consid. 4.3) si le prononcé d'une interdiction d'entrée à l'endroit du recourant est justifié dans son principe.</w:t>
      </w:r>
    </w:p>
    <w:p>
      <w:r>
        <w:rPr>
          <w:b/>
        </w:rPr>
        <w:t>E. 5.2</w:t>
      </w:r>
    </w:p>
    <w:p>
      <w:r>
        <w:t>Par arrêt du 22 décembre 2017, la Chambre pénale d'appel et de révision a condamné le recourant à une peine privative de liberté de douze ans pour tentative d'assassinat étant précisé que cette infraction constitue un crime au sens de l'art. 10 al. 2 CP et présente donc nécessairement un degré de gravité certain. De plus, les infractions commises ont mis en danger des biens juridiques particulièrement importants relatifs à la vie et à l'intégrité corporelle. Il ressort notamment des arrêts du 16 octobre 2015 de la Chambre d'appel et de révision de la Cour de justice et du TF 6B_445/2016 du 5 juillet 2017 que le recourant avait fait preuve d'une intention criminelle inscrite dans la durée et eu un rôle déterminant dans l'exécution du plan d'assassinat. Il est intervenu tant dans le choix de l'homme de main, que le transfert des instructions à ce dernier et l'aide logistique qui lui a été apportée lorsqu'il se trouvait sur les lieux le jour de l'agression. Son mobile était financier car le recourant et son cousin devaient se partager une somme de 400'000 francs. Son comportement a été décrit comme étant d'une grande froideur. En effet, après l'agression de la victime, la laissant pour morte, l'intéressé est allé faire la fête. Bien qu'il ne soit ni l'instigateur ni celui qui a agressé in fine la victime, la faute du recourant a été qualifiée de particulièrement lourde. Il n'a pas fait preuve de prise de conscience niant les faits jusqu'au terme des débats d'appel et ne collaborant pas durant l'instruction (cf. dossier SEM, pièce 35 ; arrêt du TF 6B_445/2016 du 5 juillet 2017 consid. 6.7.2). En raison de cette seule condamnation pénale, il y a déjà lieu de retenir que le recourant a violé de manière très importante des prescriptions légales ayant été édictées dans le but de maintenir la sécurité et l'ordre publics et réalise dès lors les conditions d'application de l'art. 67 al. 2 let. a LEI, en relation avec l'art. 77a al. 1 OASA.</w:t>
      </w:r>
    </w:p>
    <w:p>
      <w:r>
        <w:rPr>
          <w:b/>
        </w:rPr>
        <w:t>E. 5.3</w:t>
      </w:r>
    </w:p>
    <w:p>
      <w:r>
        <w:t>Le recourant a en outre été condamné pour détournement de valeurs patrimoniales mises sous main de justice (cf. consid. B.b. supra), emploi intentionnel d'un étranger sans autorisation à exercer une activité lucrative en Suisse (cf. consid. B.c. supra) et finalement faux dans les titres(cf. consid. B.d. supra).</w:t>
      </w:r>
    </w:p>
    <w:p>
      <w:r>
        <w:rPr>
          <w:b/>
        </w:rPr>
        <w:t>E. 5.4</w:t>
      </w:r>
    </w:p>
    <w:p>
      <w:r>
        <w:t>A ce stade, il s'impose donc de retenir que l'intéressé, par son comportement délictueux en Suisse, a indiscutablement attenté à la sécurité et à l'ordre publics, de sorte qu'il remplit les conditions d'application de l'art. 67 al. 2 let. a LEI. La mesure d'interdiction d'entrée est donc justifiée dans son principe.</w:t>
      </w:r>
    </w:p>
    <w:p>
      <w:r>
        <w:rPr>
          <w:b/>
        </w:rPr>
        <w:t>E. 6</w:t>
      </w:r>
    </w:p>
    <w:p>
      <w:r>
        <w:t>Il convient, ensuite, d'examiner si la mesure d'éloignement d'une durée de moins de deux ans prise par l'autorité intimée satisfait aux principes de la proportionnalité (cf. art. 5 al. 2 Cst et art. 96 LEI) et de l'égalité de traitement (cf. art. 8 Cst). A cet égard, l'autorité administrative doit respecter les principes susmentionnés et s'interdire tout arbitraire lorsqu'elle prononce une interdiction d'entrée (cf. ATAF 2016/33 consid. 9.2).</w:t>
      </w:r>
    </w:p>
    <w:p>
      <w:r>
        <w:rPr>
          <w:b/>
        </w:rPr>
        <w:t>E. 6.1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(règle de la proportionnalité au sens étroit ; cf., notamment, ATF 142 I 76 consid. 3.5.1 ; arrêt du TAF F-3447/2020 du 23 novembre 2021 consid. 7.1).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 arrêt du TAFF-6368/2019 du 26 octobre 2020 consid. 6.1).</w:t>
      </w:r>
    </w:p>
    <w:p>
      <w:r>
        <w:rPr>
          <w:b/>
        </w:rPr>
        <w:t>E. 6.2</w:t>
      </w:r>
    </w:p>
    <w:p>
      <w:r>
        <w:t>Concernant les deux premières règles susmentionnées, il est indéniable que l'éloignement de l'intéressé du territoire suisse est apte et nécessaire pour atteindre les buts visés, à savoir protéger l'ordre et la sécurité publics (cf. arrêt du TAF F-2343/2016 du 26 mars 2018 consid. 6.3).</w:t>
      </w:r>
    </w:p>
    <w:p>
      <w:r>
        <w:rPr>
          <w:b/>
        </w:rPr>
        <w:t>E. 6.3</w:t>
      </w:r>
    </w:p>
    <w:p>
      <w:r>
        <w:t>En fixant à moins de deux ans l'interdiction d'entrée, l'autorité inférieure est demeurée largement en-deçà de la durée fixée par la jurisprudence pour des actes d'une gravité comparable (cf. arrêts du TAF F-1055/2018 du 10 septembre 2019 consid. 10; F-7115/2015 du 15 décembre 2016 consid. I et 10.1). La durée retenue reste ainsi largement dans le cadre de l'art. 67 al. 3 LEI (durée maximale de cinq ans), qui, pour un ressortissant d'un Etat tiers, suppose que celui-ci ait attenté à la sécurité et à l'ordre publics en Suisse ou à l'étranger ou qu'il les ait mis en danger ("palier I" ; cf. ATF 139 II 121 consid. 6.1). Il est du reste permis de s'interroger sur le point de savoir si, face aux actes d'une extrême gravité perpétrés par l'intéressé, une interdiction d'entrée d'une durée fortement supérieure, également au palier II ne se serait pas avérée plus adéquate. Cette question souffre toutefois de demeurer indécise dans la mesure où le prononcé de l'interdiction d'entrée en tant que tel n'a pas été attaqué.</w:t>
      </w:r>
    </w:p>
    <w:p>
      <w:r>
        <w:rPr>
          <w:b/>
        </w:rPr>
        <w:t>E. 6.4</w:t>
      </w:r>
    </w:p>
    <w:p>
      <w:r>
        <w:t>S'agissant de la règle de la proportionnalité au sens étroit, il sied de procéder à une pesée des intérêts en présence, à savoir d'un côté l'intérêt public à tenir éloigné le recourant afin de protéger l'ordre et la sécurité publics, et d'un autre côté, l'intérêt privé du recourant à pouvoir entrer librement sur le territoire suisse.</w:t>
      </w:r>
    </w:p>
    <w:p>
      <w:r>
        <w:rPr>
          <w:b/>
        </w:rPr>
        <w:t>E. 6.5</w:t>
      </w:r>
    </w:p>
    <w:p>
      <w:r>
        <w:t>En l'espèce, s'agissant de l'intérêt public à l'éloignement du recourant de Suisse, le Tribunal observe que les motifs retenus à l'appui de la mesure ne sauraient être contestés. Le recourant n'a en effet pas remis en cause les infractions commises, soit les ordonnances pénales des 27 mars 2006, 21 mai 2012, 24 octobre 2012 et 27 novembre 2014, ainsi que le jugement de la Chambre pénale d'appel et de révision du 22 décembre 2017 le condamnant à une peine privative de liberté de douze ans, tous entrés en force (cf. consid. B supra). Concernant ledit jugement, une peine privative de liberté retenue est considérée comme de longue durée puisqu'elle dépasse un an d'emprisonnement (ATF 139 I 16 consid. 2.1 ; 137 II 297 consid. 2.1 et 2.3.6 ; 135 II 377 consid. 4.2 ; arrêt du TF 2C_759/2015 du 10 septembre 2015 consid. 4.1). En outre, l'intéressé bénéficie encore d'un sursis jusqu'au 9 décembre 2023 (cf. dossier SEM, pièce 154 et consid. 6.2 supra). Toutefois selon l'évaluation criminologique rendue par le Service de probation et d'insertion le 11 septembre 2018, le risque de récidive actuel général était estimé comme étant faible(cf. dossier SEM, pièce 159). Au vu du nombre élevé d'infractions retenues contre le recourant et de leur gravité particulièrement importante (cf. consid. 5 supra), de son comportement n'indiquant pas d'amendement, des sanctions pénales prononcées, il existe un intérêt public manifeste à son éloignement de Suisse afin d'assurer le respect de l'ordre établi et de la législation en vigueur (cf. arrêt du TAF F-3615/2016 du 16 avril 2018 consid. 8.6). Ainsi, l'intéressé représente toujours et encore une menace grave pour la sécurité et l'ordre publics et cela à plus forte raison qu'il est toujours au bénéfice d'un sursis. L'intérêt public à le maintenir éloigné de Suisse demeure assurément élevé.</w:t>
      </w:r>
    </w:p>
    <w:p>
      <w:r>
        <w:rPr>
          <w:b/>
        </w:rPr>
        <w:t>E. 6.6</w:t>
      </w:r>
    </w:p>
    <w:p>
      <w:r>
        <w:t>Dans le cadre de l'examen préjudiciel de l'interdiction d'entrée qu'il y a lieu d'effectuer, la présence en Suisse de l'épouse et des deux enfants du recourant, tous deux titulaires d'une autorisation d'établissement, entre en ligne de compte. Il y a, cependant, lieu d'apporter d'emblée les deux précisions suivantes :</w:t>
      </w:r>
    </w:p>
    <w:p>
      <w:r>
        <w:rPr>
          <w:b/>
        </w:rPr>
        <w:t>E. 6.6.1</w:t>
      </w:r>
    </w:p>
    <w:p>
      <w:r>
        <w:t>Sous l'angle des intérêts privés, il convient de relever d'emblée que l'impossibilité pour le recourant de résider sur le territoire helvétique ne résulte pas de la mesure d'éloignement litigieuse, mais découle du fait que l'autorisation d'établissement ayant été prononcée en sa faveur a été révoquée (cf. consid. C. supra). Il s'ensuit que l'appréciation susceptible d'être opérée dans le cadre de la présente procédure sous l'angle de l'art. 8 CEDH ne vise qu'à examiner si la mesure d'éloignement litigieuse - au regard de sa durée - complique de façon disproportionnée le maintien des relations familiales de l'intéressé avec ses proches établis en Suisse.</w:t>
      </w:r>
    </w:p>
    <w:p>
      <w:r>
        <w:rPr>
          <w:b/>
        </w:rPr>
        <w:t>E. 6.6.2</w:t>
      </w:r>
    </w:p>
    <w:p>
      <w:r>
        <w:t>Par ailleurs, l'on rappellera que le recourant n'a pas contesté la validité ni la durée de l'interdiction d'entrée en Suisse en tant que telles, mais seulement son inscription au SIS II. Il s'ensuit, dans cette constellation spécifique, que la portée de la protection de la vie familiale doit être fortement relativisée également pour ce motif déjà, quand bien même l'examen de sa restriction sera effectué à titre préjudiciel, compte tenu aussi de l'entrave résultant de l'inscription au SIS pour la famille nucléaire de se réunir, par exemple, dans les zones limitrophes avec la Suisse.</w:t>
      </w:r>
    </w:p>
    <w:p>
      <w:r>
        <w:rPr>
          <w:b/>
        </w:rPr>
        <w:t>E. 6.7</w:t>
      </w:r>
    </w:p>
    <w:p>
      <w:r>
        <w:t>Sous l'angle de l'art. 8 CEDH, le Tribunal rappelle que cette disposition vise avant tout les relations qui existent entre époux ou entre parents et enfants mineurs vivant en ménage commun (cf. ATF 144 I 266 consid. 3.3 et 144 II 1 consid. 6.1).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ATF 140 I 77 consid. 5.2 et 137 I 113 consid. 6.1). L'art. 13 al. 1 Cst. garantit la même protection (cf. ATF 138 I 331 consid. 8.3.2).</w:t>
      </w:r>
    </w:p>
    <w:p>
      <w:r>
        <w:rPr>
          <w:b/>
        </w:rPr>
        <w:t>E. 6.7.1</w:t>
      </w:r>
    </w:p>
    <w:p>
      <w:r>
        <w:t>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Dans ce cas, les intérêts des parties doivent toujours être mis en balance conformément à l'art. 8 par. 2 CEDH ou à l'art. 36 Cst., en tenant pleinement compte de toutes les circonstances du cas d'espèce (cf. ATF 135 I 153 consid. 2.1 p. 154 ss avec références et ATAF 2011/48 consid. 6.3.1).</w:t>
      </w:r>
    </w:p>
    <w:p>
      <w:r>
        <w:rPr>
          <w:b/>
        </w:rPr>
        <w:t>E. 6.7.2</w:t>
      </w:r>
    </w:p>
    <w:p>
      <w:r>
        <w:t>Les conséquences de l'interdiction d'entrée pour les membres de la famille ne remettent pas en cause en soi la proportionnalité de la mesure, car sinon, l'instrument de l'interdiction d'entrée serait, per se, inadmissible vis-à-vis de toutes les personnes ayant des membres de leur famille en Suisse (cf. arrêt du Tribunal fédéral 2C_270/2015 du 6 août 2015 consid. 8.2 et arrêts du TAF F-1410/2019 du 25 mars 2021 consid. 7.3.5 et F-4029/2016 du 22 mars 2017 consid. 7.2.2).</w:t>
      </w:r>
    </w:p>
    <w:p>
      <w:r>
        <w:rPr>
          <w:b/>
        </w:rPr>
        <w:t>E. 6.7.3</w:t>
      </w:r>
    </w:p>
    <w:p>
      <w:r>
        <w:t>En l'occurrence, l'interdiction d'entrée litigieuse représente certes une ingérence au droit du recourant à la protection de sa vie familiale, au sens de l'art. 8 CEDH, dès lors qu'elle constitue un obstacle à son entrée sur le territoire helvétique pour y rencontrer son épouse et ses enfants et qu'elle limite ses relations familiales. Toutefois, vu la gravité de l'infraction pénale ayant justifié l'interdiction d'entrée du 27 janvier 2022, à savoir la condamnation du 22 décembre 2017 par la Chambre pénale d'appel et de révision de la Cour de justice à une peine privative de liberté de douze ans pour tentative d'assassinat, il y a lieu de considérer que celui-ci représente toujours une menace grave, au sens de l'art. 67 al. 3 LEI, pour la sécurité et l'ordre publics en Suisse qui justifie une ingérence à son droit à la protection de sa vie familiale au sens de l'art. 8 CEDH.</w:t>
      </w:r>
    </w:p>
    <w:p>
      <w:r>
        <w:rPr>
          <w:b/>
        </w:rPr>
        <w:t>E. 7</w:t>
      </w:r>
    </w:p>
    <w:p>
      <w:r>
        <w:t>Dans ces conditions, au regard de l'ensemble des circonstances de la cause et après une pesée des intérêts privés et publics en présence, le Tribunal parvient à la conclusion que malgré la présence de sa famille nucléaire en Suisse, à savoir son époux et ses deux filles mineures, le maintien de l'interdiction d'entrée en Suisse prononcée à son encontre, valable jusqu'au 9 décembre 2023, apparaît proportionné et nécessaire à la préservation de l'ordre et la sécurité publics en Suisse, vu l'intérêt public précédemment retenu (cf. consid. 7.5 supra). Par conséquent, l'intérêt public à éloigner l'intéressé durablement de Suisse l'emporte in casu manifestement sur ses intérêts privés.</w:t>
      </w:r>
    </w:p>
    <w:p>
      <w:r>
        <w:rPr>
          <w:b/>
        </w:rPr>
        <w:t>E. 8</w:t>
      </w:r>
    </w:p>
    <w:p>
      <w:r>
        <w:t>Reste à examiner si la publication de l'interdiction d'entrée au SIS est justifiée, ce que l'intéressé conteste. A cet égard, il a produit un contrat de travail en Allemagne et avance que le signalement de l'interdiction d'entrée au SIS ferait de manière hautement vraisemblable obstacle à l'obtention d'une autorisation de séjour dans ce pays. Ainsi, ledit signalement ne serait pas proportionnel et mettrait en péril sa liberté économique (cf. act. 1, 13 et 17 TAF).</w:t>
      </w:r>
    </w:p>
    <w:p>
      <w:r>
        <w:rPr>
          <w:b/>
        </w:rPr>
        <w:t>E. 8.1</w:t>
      </w:r>
    </w:p>
    <w:p>
      <w:r>
        <w:t>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du règlement [CE] 1987/2006 du Parlement européen et du Conseil du 20 décembre 2006 sur l'établissement, le fonctionnement et l'utilisation du système d'information Schengen de deuxième génération [SIS II, JO L 381/4 du 28.12.2006]), cette personne est inscrite aux fins de non-admission dans le SIS II si le cas est suffisamment important pour justifier l'introduction du signalement dans ce système (cf. art. 21 et 24 SIS II). Le signalement est notamment introduit si un ressortissant d'un Etat tiers a été condamné dans un Etat membre pour une infraction passible d'une peine privative de liberté d'au moins un an (art. 24 par. 2 let. a SIS II).</w:t>
      </w:r>
    </w:p>
    <w:p>
      <w:r>
        <w:rPr>
          <w:b/>
        </w:rPr>
        <w:t>E. 8.2</w:t>
      </w:r>
    </w:p>
    <w:p>
      <w:r>
        <w:t>Le signalement dans le SIS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JO L 77/1 du 23.3.2016]).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qui demeure applicable en vertu de l'art. 52 par. 1 du règlement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15.09.2009]. Seul l'Etat membre signalant est autorisé à modifier, compléter, rectifier, mettre à jour ou effacer les données qu'il a introduites dans le SIS II (art. 34 al. 2 et 3 du règlement SIS II).</w:t>
      </w:r>
    </w:p>
    <w:p>
      <w:r>
        <w:rPr>
          <w:b/>
        </w:rPr>
        <w:t>E. 8.3</w:t>
      </w:r>
    </w:p>
    <w:p>
      <w:r>
        <w:t>En l'occurrence, le signalement dans le SIS est justifié compte tenu des infractions en droit des étrangers retenues à l'encontre de l'intéressé, passibles d'une peine privative de liberté d'au moins un an (cf. art. 21, en relation avec l'art. 24 par. 2 let. a SIS II). Il l'est d'autant plus que la Suisse, dans le champ d'application des règles de Schengen, se doit de préserver les intérêts de tous les Etats parties aux accords d'association à Schengen (cf. ATAF 2011/48 consid. 6.1).</w:t>
      </w:r>
    </w:p>
    <w:p>
      <w:r>
        <w:rPr>
          <w:b/>
        </w:rPr>
        <w:t>E. 8.4</w:t>
      </w:r>
    </w:p>
    <w:p>
      <w:r>
        <w:t>En ce qui concerne l'obstacle à l'obtention d'une autorisation de séjour allemande que pourrait représenter le signalement de l'interdiction d'entrée au SIS, il convient de rappeler que seul l'Etat membre signalant est autorisé à modifier, compléter, rectifier, mettre à jour ou effacer les données qu'il a introduites dans le SIS (art. 34 al. 2 et 3 SIS II) et que dans le contexte de l'art. 25 par. 1 CAAS, il n'est tenu de le faire que si un autre Etat membre, qui l'a préalablement consulté, octroie un titre de séjour à la personne signalée à des fins de non admission. Dans la mesure où l'intéressé n'est à ce jour au bénéfice d'aucun titre de séjour délivré par les autorités allemandes au sens de l'art. 25 par. 1 CAAS ou un autre Etat Schengen, rien n'oblige les autorités suisses à retirer le signalement du recourant au SIS. Le simple fait qu'un contrat de travail en Allemagne ait été obtenu par l'intéressé et qu'une potentielle demande d'autorisation de travail ait été déposée dans ce pays n'y change rien. Ce n'est qu'après l'obtention d'une autorisation de séjour en Allemagne qu'il serait possible d'annuler le signalement aux conditions de l'art. 25 par. 1 CAAS. En conclusion, le signalement est entièrement justifié par les faits retenus et satisfait au principe de proportionnalité au vu des circonstances du cas d'espèce.</w:t>
      </w:r>
    </w:p>
    <w:p>
      <w:r>
        <w:rPr>
          <w:b/>
        </w:rPr>
        <w:t>E. 9</w:t>
      </w:r>
    </w:p>
    <w:p>
      <w:r>
        <w:t>Il ressort de ce qui précède que, par sa décision du 27 janvier 2022, l'autorité inférieure n'a ni violé le droit fédéral ni constaté des faits pertinents de manière inexacte ou incomplète ; en outre, cette décision n'est pas inopportune (art. 49 PA). Le recours est dès lors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