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F-929/2026 vom 13. Februar 2026</w:t>
      </w:r>
    </w:p>
    <w:p>
      <w:r>
        <w:t>Bundesverwaltungsgericht, 2026-02-13, DE</w:t>
      </w:r>
    </w:p>
    <w:p>
      <w:r>
        <w:rPr>
          <w:b/>
        </w:rPr>
        <w:t xml:space="preserve">Quelle: </w:t>
      </w:r>
      <w:r>
        <w:t>https://mcp.opencaselaw.ch/entscheid/bvger_F-929_2026</w:t>
      </w:r>
    </w:p>
    <w:p>
      <w:r>
        <w:t>FR: TAF F-929/2026 du 13 février 2026</w:t>
      </w:r>
    </w:p>
    <w:p>
      <w:r>
        <w:t>IT: TAF F-929/2026 del 13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Der Beschwerdeführer beantragt die Aufhebung der vorinstanzlichen Verfügung. Diese enthält neben dem Nichteintretens- und Wegweisungsentscheid (Dispositivziffern 1-4) auch die Datenänderung im ZEMIS (Dispositivziffer 5). Der Beschwerdeführer formuliert kein konkretes Rechtsbegehren betreffend Datenänderung im ZEMIS und setzt sich auch in der Beschwerdebegründung nicht explizit mit dem ZEMIS-Eintrag auseinander. Folglich ist davon auszugehen, dass in diesem Beschwerdeverfahren nur der Nichteintretens- und Wegweisungsentscheid angefochten wird. Es steht dem Beschwerdeführer frei, innerhalb der noch laufenden Frist Beschwerde gegen die Datenänderung im ZEMIS zu erheben (vgl. Art. 50 Abs. 1 VwVG).</w:t>
      </w:r>
    </w:p>
    <w:p>
      <w:r>
        <w:rPr>
          <w:b/>
        </w:rPr>
        <w:t>E. 1.2</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1.3</w:t>
      </w:r>
    </w:p>
    <w:p>
      <w:r>
        <w:t>Das Bundesverwaltungsgericht entscheidet über die vorliegende Beschwerde endgültig (Art. 83 Bst. d Ziff. 1 BGG).</w:t>
      </w:r>
    </w:p>
    <w:p>
      <w:r>
        <w:rPr>
          <w:b/>
        </w:rPr>
        <w:t>E. 1.4</w:t>
      </w:r>
    </w:p>
    <w:p>
      <w:r>
        <w:t>Die vorliegende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Zur Bestimmung des staatsvertraglich zuständigen Staates prüft die Vorinstanz die Zuständigkeitskriterien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2.2</w:t>
      </w:r>
    </w:p>
    <w:p>
      <w:r>
        <w:t>Gemäss Art. 3 Abs. 1 Dublin-III-VO wird jeder Asylantrag von einem einzigen Mitgliedstaat geprüft, der nach den Kriterien des Kapitels III (Art. 8-15 Dublin-III-VO) als zuständiger Staat bestimmt wird (vgl. Art. 7 Abs. 1 Dublin-III-VO). Im Fall einer minderjährigen Person ohne familiäre Anknüpfungspunkte (zu einem anderen Mitgliedstaat) ist gemäss Art. 8 Abs. 4 Dublin-III-VO der Staat zuständig, in dem sie ihren Antrag gestellt hat. Soweit in mehr als einem Mitgliedstaat ein Asylantrag gestellt wurde, ist derjenige Mitgliedstaat zuständig, in dem sich die minderjährige Person aufhält, nachdem sie dort einen Asylantrag gestellt hat (Urteil des EuGH vom 6. Juni 2013 C-648/11, M.A., B.T. und D.A. gegen Vereinigtes Königreich, Rn. 66). Unbegleitete Minderjährige sind damit vom Wiederaufnahmeverfahren ausgenommen und es besteht bei festgestellter Minderjährigkeit eine vorrangige Zuständigkeit der Schweiz.</w:t>
      </w:r>
    </w:p>
    <w:p>
      <w:r>
        <w:rPr>
          <w:b/>
        </w:rPr>
        <w:t>E. 3.1</w:t>
      </w:r>
    </w:p>
    <w:p>
      <w:r>
        <w:t>Der Beschwerdeführer rügt eine Verletzung des Untersuchungsgrundsatzes durch die Vorinstanz, da diese trotz Einreichung von Tazkara und Schulzeugnissen im Original sowie nachvollziehbarer Angaben zu seinem Alter kein Altersgutachten angeordnet habe. Demnach ist zu prüfen, ob die Vorinstanz die Minderjährigkeit des Beschwerdeführers verneinen durfte, ohne zur weiteren Abklärung des diesbezüglichen Sachverhalts ein medizinisches Altersgutachten erstellen zu lassen.</w:t>
      </w:r>
    </w:p>
    <w:p>
      <w:r>
        <w:rPr>
          <w:b/>
        </w:rPr>
        <w:t>E. 3.2</w:t>
      </w:r>
    </w:p>
    <w:p>
      <w:r>
        <w:t>Die Behörde nimmt die ihr angebotenen Beweise ab, wenn diese zur Abklärung des Sachverhalts tauglich erscheinen (Art. 33 Abs. 1 VwVG). Daraus folgt im Umkehrschluss, dass die Behörde nur dann von der Abnahme beantragter Beweismittel absehen darf, wenn sie auf Grund der bereits abgenommenen Beweise ihre Überzeugung gebildet hat und nach der allgemeinen Lebenserfahrung davon ausgehen durfte, dass ihre Erkenntnis durch die beantragten weiteren Beweiserhebungen nicht geändert würde (vgl. BGE 141 I 60 E. 3.3; 136 I 229 E. 5.3 m.H.). Gleichsam erschöpft sich die behördliche Pflicht zur Sachverhaltsabklärung von Amtes wegen (Art. 12 VwVG), wenn der rechtserhebliche Sachverhalt bewiesen ist oder in antizipierter Beweiswürdigung ausgeschlossen werden kann, dass weitere Abklärungen zu einem entscheidenden Erkenntnisgewinn führen würden (BVGE 2015/1 E. 4.2; Urteile des BVGer F-6632/2025 vom 21. Oktober 2025 E. 4.2, F-2566/2025 23. April 2025 E. 5.1, F-1590/2025 vom 7. April 2025 E. 4.1, F-4529/2024 vom 13. Januar 2025 E. 5.2).</w:t>
      </w:r>
    </w:p>
    <w:p>
      <w:r>
        <w:rPr>
          <w:b/>
        </w:rPr>
        <w:t>E. 3.3</w:t>
      </w:r>
    </w:p>
    <w:p>
      <w:r>
        <w:t>Die Minderjährigkeit ist von der asylsuchenden Person der allgemeinen asylrechtlichen Beweisregel (Art. 7 AsylG) folgend zumindest glaubhaft zu machen (vgl. BVGE 2023 VI/4 E. 6.3). Als glaubhaft gemacht ist die Minderjährigkeit dann zu erachten, wenn für deren Vorhandensein gewisse Elemente sprechen, selbst wenn das Gericht noch mit der Möglichkeit rechnet, dass die asylsuchende Person bereits volljährig ist (vgl. BVGE 2023 VI/4 E. 6.3 m.H.a. BGE 140 III 610 E. 4.1, 130 III 321 E. 3.3). Liegen wie hier keine rechtsgenügenden Reise- oder Identitätspapiere vor, ist bei der Einschätzung des Alters von angeblich minderjährigen Personen eine Gesamtwürdigung vorzunehmen (vgl. BVGE 2023 VI/4 E. 6.5). Hierbei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Ausschlaggebend sind insbesondere die Angaben zum Alter, zu Identitätspapieren respektive den Gründen für deren Nichteinreichung, zu den familiären Umständen, zum Schulbesuch, zur Berufsbildung und -tätigkeit, zu den Ausreiseumständen sowie gegebenenfalls länderspezifische Angaben zum behaupteten Herkunftsgebiet (vgl. BVGE 2023 VI/4 E. 6.5 m.w.H.). Im Rahmen der Sachverhaltsfeststellung kann mit Unterstützung wissenschaftlicher Methoden abgeklärt werden, ob die Altersangabe der asylsuchenden Person ihrem tatsächlichen Alter entspricht (Art. 7 Abs. 1 der Asylverordnung 1 über Verfahrensfragen vom 11. August 1999 [AsylV 1; SR 142.311]; vgl. auch Art. 17 Abs. 3bis AsylG). Das Resultat eines Altersgutachtens stellt bei der Beurteilung der Frage der Glaubhaftigkeit einer geltend gemachten Minderjährigkeit ein im Rahmen der Gesamtbetrachtung zu berücksichtigendes Element dar (vgl. Urteil des BVGer F-3255/2020 vom 2. Juli 2020 E. 7.2; ferner BVGE 2019 I/6 E. 6.1 ff.).</w:t>
      </w:r>
    </w:p>
    <w:p>
      <w:r>
        <w:rPr>
          <w:b/>
        </w:rPr>
        <w:t>E. 3.4</w:t>
      </w:r>
    </w:p>
    <w:p>
      <w:r>
        <w:t>Wie die Vorinstanz zutreffend feststellte, vermag der Beschwerdeführer sein geltend gemachtes Geburtsdatum nicht anhand rechtsgenüglicher Identitätsdokumente zu belegen. Sie bemerkte ferner zu Recht, dass der Beschwerdeführer teilweise ausweichende, vage Antworten gab und sich mehrfach wiederholte. Es ist daher auch nachvollziehbar, dass sie den Verdacht hegte, er habe die Antworten auswendig gelernt. Auf Beschwerdeebene wird demgegenüber in überzeugender Weise aufgezeigt, dass sich die Aussage betreffend das Ende der Schulzeit bei näherer Betrachtung nicht per se als widersprüchlich erweist. Dabei gilt es auch den sozio-kulturellen Kontext zu berücksichtigen, wonach Daten und Jahreszahlen im Heimatland des Beschwerdeführers nicht den gleichen Stellenwert haben wie hierzulande. Zudem lassen sich seine Angaben - zu seinem Alter bei Schulbeginn, in welchem Jahr dies war, Alter bei Verlassen der Schule, Verbleib im Heimatland, Dauer des Aufenthalts an verschiedenen Orten und Reisedauer - grundsätzlich mit dem geltend gemachten Geburtsdatum vereinen. Zusammen mit der eingereichten Tazkara und den Schulzeugnissen bestehen gewisse Hinweise auf eine allfällige Minderjährigkeit des Beschwerdeführers, obwohl die Vorinstanz diesbezüglich zutreffend auf die leichte Fälschbarkeit solcher Dokumente hinwies. Die Indizienlage spricht vorliegend aber nicht eindeutig gegen die Minderjährigkeit des Beschwerdeführers. Die in seinen Aussagen festgestellten Widersprüche reichen nicht aus, um mit der notwendigen Zuverlässigkeit auf ein bestimmtes Geburtsdatum zu schliessen und ihn als volljährig einzuschätzen. Es ist demnach nicht davon auszugehen, dass ein Altersgutachten ungeachtet seines Ergebnisses von vornherein nichts mehr an dieser Beurteilung zu ändern vermöchte. Dies umso mehr, als sich nach Ansicht des Gerichts die Indizienlage, verglichen mit ähnlich gelagerten Fällen, in welchen die Vorinstanz jeweils von sich aus ein Altersgutachten veranlasst hat, nicht dergestalt anders präsentiert, um vorliegend ein Abweichen von besagter Verwaltungspraxis zu rechtfertigen (vgl. Urteile des BVGer F-6632/2025 vom 21. Oktober 2025 E. 4.6, F-2566/2025 vom 23. April 2025, E. 6.3, F-1590/2025 vom 7. April 2025 E. 4.5.1).</w:t>
      </w:r>
    </w:p>
    <w:p>
      <w:r>
        <w:rPr>
          <w:b/>
        </w:rPr>
        <w:t>E. 3.5</w:t>
      </w:r>
    </w:p>
    <w:p>
      <w:r>
        <w:t>Die Vorinstanz hätte demnach ein medizinisches Altersgutachten veranlassen müssen. Indem sie in antizipierter Beweiswürdigung davon absah, hat sie die ihr obliegende Pflicht zur vollständigen Feststellung des rechtserheblichen Sachverhalts verletzt.</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potenziell rechtserhebliche Tatsachen festgestellt werden müssen und ein umfassendes Beweisverfahren durchzuführen ist (vgl. BVGE 2012/21 E. 5 m.w.H.). In casu ist dies der Fall, weshalb eine Kassation der angefochtenen Verfügung angezeigt ist.</w:t>
      </w:r>
    </w:p>
    <w:p>
      <w:r>
        <w:rPr>
          <w:b/>
        </w:rPr>
        <w:t>E. 4.2</w:t>
      </w:r>
    </w:p>
    <w:p>
      <w:r>
        <w:t>Die Beschwerde ist demnach gutzuheissen, die angefochtene Verfügung aufzuheben und die Sache zur vollständigen Erstellung des rechtserheblichen Sachverhalts und neuem Entscheid an die Vorinstanz zurückzuweisen.</w:t>
      </w:r>
    </w:p>
    <w:p>
      <w:r>
        <w:rPr>
          <w:b/>
        </w:rPr>
        <w:t>E. 4.3</w:t>
      </w:r>
    </w:p>
    <w:p>
      <w:r>
        <w:t>Der am 9. Februar 2026 verfügte Vollzugsstopp fällt mit dem vorliegenden Urteil dahin.</w:t>
      </w:r>
    </w:p>
    <w:p>
      <w:r>
        <w:rPr>
          <w:b/>
        </w:rPr>
        <w:t>E. 5.1</w:t>
      </w:r>
    </w:p>
    <w:p>
      <w:r>
        <w:t>Bei diesem Ausgang des Verfahrens sind keine Kosten aufzuerlegen (vgl. Art. 63 Abs. 1 und 2 VwVG). Daher wird das Gesuch um unentgeltliche Rechtspflege (recte: unentgeltliche Prozessführung) gegenstandslos.</w:t>
      </w:r>
    </w:p>
    <w:p>
      <w:r>
        <w:rPr>
          <w:b/>
        </w:rPr>
        <w:t>E. 5.2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