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F-9291/2025 vom 17. Dezember 2025</w:t>
      </w:r>
    </w:p>
    <w:p>
      <w:r>
        <w:t>Bundesverwaltungsgericht, 2025-12-17, DE</w:t>
      </w:r>
    </w:p>
    <w:p>
      <w:r>
        <w:rPr>
          <w:b/>
        </w:rPr>
        <w:t xml:space="preserve">Quelle: </w:t>
      </w:r>
      <w:r>
        <w:t>https://mcp.opencaselaw.ch/entscheid/bvger_F-9291_2025</w:t>
      </w:r>
    </w:p>
    <w:p>
      <w:r>
        <w:t>FR: TAF F-9291/2025 du 17 décembre 2025</w:t>
      </w:r>
    </w:p>
    <w:p>
      <w:r>
        <w:t>IT: TAF F-9291/2025 del 17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korrekt erwogen, dass gestützt auf Art. 18 Abs. 1 Bst. d Dublin-III-VO grundsätzlich Deutschland für die Behandlung des Asylgesuchs des Beschwerdeführers zuständig ist, dass das deutsche Asylsystem rechtsprechungsgemäss keine systemischen Mängel aufweist (vgl. statt vieler: Urteil des BVGer F-8329/2025 vom 3. November 2025 E. 4.1 m.w.H.),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ist auf die vorinstanzlichen Erwägungen zu verweisen.</w:t>
      </w:r>
    </w:p>
    <w:p>
      <w:r>
        <w:rPr>
          <w:b/>
        </w:rPr>
        <w:t>E. 2.2</w:t>
      </w:r>
    </w:p>
    <w:p>
      <w:r>
        <w:t>Die auf Rechtsmittelebene vorgebrachten Gründe vermögen nichts an der Richtigkeit der angefochtenen Verfügung zu ändern. Die behaupteten gesundheitlichen Probleme (Stress, schwere psychische Belastung) blieben völlig unbelegt. Im Übrigen verfügt Deutschland über eine ausreichende medizinische Infrastruktur für deren Behandlung (vgl. statt vieler: Urteil des BVGer F-7987/2025 vom 31. Oktober 2025 E. 2.2 m.H.). Hinsichtlich der geltend gemachten Bedrohungslage in Deutschland ist mit der Vorinstanz festzustellen, dass sich der Beschwerdeführer diesbezüglich an die deutschen Justizbehörden zu wenden hat. Deutschland ist ein Rechtsstaat und die Behörden sind gewillt und fähig, staatlichen Schutz zu gewähren (vgl. statt vieler: Urteil des BVGer F-9104/2025 vom 1. Dezember 2025 E. 2.2). Betreffend das Vorbringen des Beschwerdeführers - die Angst vor einer Rückschiebung durch die deutschen Behörden nach Syrien - ist darauf hinzuweisen, dass sich Weiterungen zur Einhaltung des Non-Refoulement-Gebots durch die deutschen Behörden vor dem Hintergrund, dass das deutsche Asylsystem rechtsprechungsgemäss keine systemischen Schwachstellen aufweist (vgl. E. 2.1 hiervor), erübrigen (einlässlich dazu Urteil des EuGH vom 30. November 2023, verbundene Rechtssachen C-228/21, C-254/21, C-297/21, C-315/21 und C-328/21, §§ 129-142 und Ziff. 2 des Dispositivs). Zudem ist darauf hinzuweisen, dass die Dublin-III-VO den Antragstellenden kein Wahlrecht hinsichtlich des Mitgliedstaates, der ihren Antrag prüfen soll, gewährt (BVGE 2010/45 E. 8.3 [noch die Dublin-II-VO betreffend]).</w:t>
      </w:r>
    </w:p>
    <w:p>
      <w:r>
        <w:rPr>
          <w:b/>
        </w:rPr>
        <w:t>E. 3</w:t>
      </w:r>
    </w:p>
    <w:p>
      <w:r>
        <w:t>Nach dem Gesagten ist die angefochtene Verfügung nicht zu beanstanden (Art. 106 AsylG) und die Beschwerde ist abzuweisen. Mit dem vorliegenden Urteil fällt der am 23. September 2025 angeordnete Vollzugsstopp dahin. Das Gesuch um Gewährung der aufschiebenden Wirkung ist gegenstandslos geworden.</w:t>
      </w:r>
    </w:p>
    <w:p>
      <w:r>
        <w:rPr>
          <w:b/>
        </w:rPr>
        <w:t>E. 4</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