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F-9258/2025 vom 5. Dezember 2025</w:t>
      </w:r>
    </w:p>
    <w:p>
      <w:r>
        <w:t>Bundesverwaltungsgericht, 2025-12-05, FR</w:t>
      </w:r>
    </w:p>
    <w:p>
      <w:r>
        <w:rPr>
          <w:b/>
        </w:rPr>
        <w:t xml:space="preserve">Quelle: </w:t>
      </w:r>
      <w:r>
        <w:t>https://mcp.opencaselaw.ch/entscheid/bvger_F-9258_2025</w:t>
      </w:r>
    </w:p>
    <w:p>
      <w:r>
        <w:t>FR: TAF F-9258/2025 du 5 décembre 2025</w:t>
      </w:r>
    </w:p>
    <w:p>
      <w:r>
        <w:t>IT: TAF F-9258/2025 del 5 dicembre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2</w:t>
      </w:r>
    </w:p>
    <w:p>
      <w:r>
        <w:t>Dans la procédure de recours, la langue est en général celle de la décision attaquée. Si les parties utilisent une autre langue officielle, celle-ci peut être adoptée (art. 33a al. 2 PA). En l'espèce, la décision attaquée est en allemand, tandis que le recours a été rédigé en français, si bien que le français est adopté pour la présente procédure.</w:t>
      </w:r>
    </w:p>
    <w:p>
      <w:r>
        <w:rPr>
          <w:b/>
        </w:rPr>
        <w:t>E. 3.1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3.2</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4</w:t>
      </w:r>
    </w:p>
    <w:p>
      <w:r>
        <w:t>Saisi d'un recours contre une décision de non-entrée en matière sur une demande d'asile, le Tribunal se limite à examiner le bien-fondé d'une telle décision (ATAF 2017 VI/5 consid. 3.1).</w:t>
      </w:r>
    </w:p>
    <w:p>
      <w:r>
        <w:rPr>
          <w:b/>
        </w:rPr>
        <w:t>E. 5.1</w:t>
      </w:r>
    </w:p>
    <w:p>
      <w:r>
        <w:t>Dans un premier temps, en ce qui concerne le grief formel avancé au stade du recours, il convient de constater qu'aucun manquement de la part du SEM ne saurait être retenu quant à la détermination de l'âge de l'intéressé (ATF 144 I 11 consid. 5.3 et les réf. citées ; ATAF 2019 VII/6 consid. 4.1).</w:t>
      </w:r>
    </w:p>
    <w:p>
      <w:r>
        <w:rPr>
          <w:b/>
        </w:rPr>
        <w:t>E. 5.2</w:t>
      </w:r>
    </w:p>
    <w:p>
      <w:r>
        <w:t>En effet, au cours de la procédure, le SEM a instruit la question centrale de la minorité alléguée de l'intéressé en interrogeant ce dernier sur son âge à différentes étapes de sa vie et en lui accordant spécifiquement un droit d'être entendu à ce sujet. Il a en outre dûment analysé les documents fournis par l'intéressé à titre de preuve (les photocopies de sa « tazkera » et de son carnet de vaccination) et ordonné une expertise médico-légale, avant de procéder à une appréciation et analyse approfondie de tous les éléments au dossier. Ce faisant, le SEM a établi de manière appropriée l'état de fait pertinent en lien avec l'âge de l'intéressé (art. 12 PA ; cf. ATF 146 V 240 consid. 8.1 ; ATAF 2009/60 consid. 2.1.1).</w:t>
      </w:r>
    </w:p>
    <w:p>
      <w:r>
        <w:rPr>
          <w:b/>
        </w:rPr>
        <w:t>E. 5.3</w:t>
      </w:r>
    </w:p>
    <w:p>
      <w:r>
        <w:t>Pour le surplus, les arguments du recourant ont trait à l'appréciation des éléments du dossier faite par le SEM et seront dès lors examinés ci-après avec le fond.</w:t>
      </w:r>
    </w:p>
    <w:p>
      <w:r>
        <w:rPr>
          <w:b/>
        </w:rPr>
        <w:t>E. 6.1</w:t>
      </w:r>
    </w:p>
    <w:p>
      <w:r>
        <w:t>Il convient de déterminer si le SEM était fondé à faire application de l'art. 31a al. 1 let. b LAsi.</w:t>
      </w:r>
    </w:p>
    <w:p>
      <w:r>
        <w:rPr>
          <w:b/>
        </w:rPr>
        <w:t>E. 6.2</w:t>
      </w:r>
    </w:p>
    <w:p>
      <w:r>
        <w:t>Avant de faire application de cette disposition, le SEM examine la compétence relative au traitement d'une demande d'asile selon les critères fixés dans le règlement Dublin III (cf. art. 1 et 29a de l'ordonnance 1 du 11 août 1999 sur l'asile [OA 1, RS 142.311]).</w:t>
      </w:r>
    </w:p>
    <w:p>
      <w:r>
        <w:rPr>
          <w:b/>
        </w:rPr>
        <w:t>E. 6.3</w:t>
      </w:r>
    </w:p>
    <w:p>
      <w:r>
        <w:t>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w:t>
      </w:r>
    </w:p>
    <w:p>
      <w:r>
        <w:rPr>
          <w:b/>
        </w:rPr>
        <w:t>E. 7.1</w:t>
      </w:r>
    </w:p>
    <w:p>
      <w:r>
        <w:t>Eu égard à l'art. 8 par. 4 du règlement Dublin III, aux prescriptions procédurales particulières applicables aux RMNA et à la jurisprudence y relative, il convient de se prononcer préalablement sur la minorité alléguée du recourant.</w:t>
      </w:r>
    </w:p>
    <w:p>
      <w:r>
        <w:rPr>
          <w:b/>
        </w:rPr>
        <w:t>E. 7.2</w:t>
      </w:r>
    </w:p>
    <w:p>
      <w:r>
        <w:t>En effet, selon l'art. 8 par. 4 du règlement Dublin III, l'Etat membre responsable de l'examen d'une demande de protection internationale émanant d'un mineur non accompagné est celui dans lequel se trouve ce mineur après y avoir déposé une demande d'asile (cf. notamment arrêt du Tribunal F-7034/2025 du 25 septembre 2025 consid. 2.3 ; arrêt de la Cour de justice de l'Union européenne (CJUE) du 6 juin 2013 C-648/11 MA, BT et DA / Royaume-Uni, ECLI:EU:C:2013:367, par. 66).</w:t>
      </w:r>
    </w:p>
    <w:p>
      <w:r>
        <w:rPr>
          <w:b/>
        </w:rPr>
        <w:t>E. 8.1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Tribunal fédéral [ci-après : TF] 1C_641/2023 du 11 avril 2024 consid. 2.1.2 ; ATAF 2019 I/6 consid. 5.5). Si des indices laissent supposer qu'un requérant prétendument mineur a atteint l'âge de la majorité, une expertise visant à déterminer son âge peut être ordonnée (art. 17 al. 3bis LAsi et art. 7 al. 1 OA 1). Ainsi, si la minorité alléguée ne peut pas être prouvée par pièces, il convient de procéder à une appréciation globale de tous les autres éléments plaidant en faveur et en défaveur de l'âge déclaré (cf. arrêt du TF 1C_641/2023 précité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précité consid. 2.1.2 ; ATAF 2023 VI/4 consid. 6.3).</w:t>
      </w:r>
    </w:p>
    <w:p>
      <w:r>
        <w:rPr>
          <w:b/>
        </w:rPr>
        <w:t>E. 8.2</w:t>
      </w:r>
    </w:p>
    <w:p>
      <w:r>
        <w:t>En l'espèce, le recourant n'a pas fourni de document d'identité susceptible de prouver sa minorité (art. 1a let. c OA 1). En effet, sa tazkera et son carnet de vaccination - pièces produites sous forme de copies - n'ont qu'une force probante réduite (arrêt du Tribunal fédéral 1C_240/2012 du 13 août 2021 consid. 5.1 ; ATAF 2013/30 consid. 4.2.2 ; arrêts du Tribunal F-5112/2020 du 16 décembre 2020 consid. 4.5 ; D-4824/2019 du 27 septembre 2019 consid. 8.5). Elles ne peuvent dès lors constituer qu'un indice de l'âge de l'intéressé. En l'absence de preuve formelle, il convient dès lors d'apprécier les autres éléments parlant en faveur, comme en défaveur, de la minorité alléguée par l'intéressé.</w:t>
      </w:r>
    </w:p>
    <w:p>
      <w:r>
        <w:rPr>
          <w:b/>
        </w:rPr>
        <w:t>E. 8.3</w:t>
      </w:r>
    </w:p>
    <w:p>
      <w:r>
        <w:t>S'agissant de l'expertise médiale effectuée,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de la radiographie de la main. Le Tribunal a défini des principes pour la pondération des résultats de ces examens (cf. ATAF 2018 VI/3 consid. 4.2.1 s.). Il ressort de ces derniers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mais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déterminer avec certitude si le requérant est majeur ou mineur, les deux hypothèses étant possibles (cf. ATAF 2018 VI/3 consid. 4.2.2).</w:t>
      </w:r>
    </w:p>
    <w:p>
      <w:r>
        <w:rPr>
          <w:b/>
        </w:rPr>
        <w:t>E. 8.4</w:t>
      </w:r>
    </w:p>
    <w:p>
      <w:r>
        <w:t>En l'espèce, selon le résultat global de l'expertise, établi le 28 octobre 2025, l'âge moyen de l'intéressé se situe entre 21 et 29 ans et l'âge minimal est de (...) ans. Selon les experts, la probabilité que le recourant soit âgé de plus de 18 ans est forte et la date de naissance communiquée par ce dernier, soit le (...), peut être exclue.</w:t>
      </w:r>
    </w:p>
    <w:p>
      <w:r>
        <w:rPr>
          <w:b/>
        </w:rPr>
        <w:t>E. 8.5</w:t>
      </w:r>
    </w:p>
    <w:p>
      <w:r>
        <w:t>Certes, comme soulevé au stade du recours, l'analyse séparée de deux éléments de l'expertise effectuée (l'examen dentaire (basé seulement sur deux dents) et l'examen de la clavicule) mène à constater un écart important entre l'âge dentaire minimal (qui, après calcul, s'élève approximativement à (...) voire (...) ans, selon les méthodes appliquées) et l'âge squelettique minimal retenu (... ans). Les spécialistes indiquent qu'un tel écart pourrait résulter de problèmes hormonaux non diagnostiqués chez l'intéressé. Sur cette base, le recourant soulève au stade du recours que, contrairement à ce qui a été retenu par le SEM, l'expertise effectuée ne peut pas constituer un indice fort de la majorité. Le Tribunal constate que si les résultats de l'expertise semblent en l'espèce effectivement sujets à caution, la question de la valeur probante de l'expertise effectuée peut néanmoins rester ouverte compte tenu d'éléments du dossier rendant en tout état la majorité de l'intéressé vraisemblable.</w:t>
      </w:r>
    </w:p>
    <w:p>
      <w:r>
        <w:rPr>
          <w:b/>
        </w:rPr>
        <w:t>E. 8.6</w:t>
      </w:r>
    </w:p>
    <w:p>
      <w:r>
        <w:t>Force est en effet de constater que les déclarations de l'intéressé concernant son âge manquent, quoi qu'il en dise, de précision et de consistance. Ce dernier parvient, certes, à décrire de manière relativement détaillée les circonstances dans lesquelles il aurait appris sa date de naissance ; il est également en mesure d'énoncer quelques dates liées aux événements-clés de sa vie. Requis en revanche d'indiquer quel âge il avait lors de ces événements, il ne parvient pas à répondre. Il en va ainsi par exemple des questions portant sur l'âge qu'il avait lorsqu'il a quitté le Pakistan pour l'Afghanistan, voire encore au moment de son départ de son pays d'origine. A ces questions, le recourant répond brièvement par « je ne sais pas ». Inversement, alors que l'intéressé est parfois en mesure d'indiquer son âge par rapport à un événement marquant, il lui est impossible de dire en quelle année celui-ci a eu lieu ; tel est à titre d'exemple le cas de la date de décès de son père, voire encore de la date marquant le début et la fin de sa scolarité, tant au Pakistan qu'en Afghanistan (cf. procès-verbal de l'audition du 9 octobre 2025, questions 1.07 et 1.17.04). Force est ainsi de constater que les déclarations de l'intéressé sur son âge lors d'événements cruciaux de sa vie surprennent par leur caractère lacunaire et évasif. Tout porte ainsi à croire que ce dernier évite de donner des réponses précises pour empêcher toute incohérence avec la date de naissance qu'il avait indiquée. A cela s'ajoute que, contrairement à l'allégation de l'intéressé, aucune date de naissance ne figure sur la tazkera produite, document qui se limite à mentionner que « selon son apparence physique, [l'intéressé] a (...) ans en 1396 [2017/2018] ». Force est ainsi de constater que faute de mentionner la date de naissance de l'intéressé, la valeur probante de la tazkera produite, déjà très faible, est fortement réduite. Enfin, il n'est pas compréhensible pourquoi ce n'est qu'une fois en Suisse que le recourant a demandé à son frère de lui envoyer la photographie de sa tazkera et de son carnet de vaccination. Quant à ce dernier document, il mentionne comme date de naissance de l'intéressé le (...), soit une autre date que celle qu'il avait lui-même indiquée. Le document précité ne fait dès lors que remettre encore plus en doute les indications de l'intéressé relatives à son âge et les explications alambiquées apportées au stade du recours sur ce dernier point ne convainquent pas.</w:t>
      </w:r>
    </w:p>
    <w:p>
      <w:r>
        <w:rPr>
          <w:b/>
        </w:rPr>
        <w:t>E. 8.7</w:t>
      </w:r>
    </w:p>
    <w:p>
      <w:r>
        <w:t>Sur la base d'éléments qui précèdent, le Tribunal constate dès lors que le SEM pouvait légitimement considérer que la prétendue minorité du recourant n'avait pas été rendue vraisemblable.</w:t>
      </w:r>
    </w:p>
    <w:p>
      <w:r>
        <w:rPr>
          <w:b/>
        </w:rPr>
        <w:t>E. 9</w:t>
      </w:r>
    </w:p>
    <w:p>
      <w:r>
        <w:t>Au vu de tous les éléments qui précèdent, il y a donc lieu de conclure que le recourant n'est pas parvenu à prouver, ou à tout le moins, rendre vraisemblable, sa minorité.</w:t>
      </w:r>
    </w:p>
    <w:p>
      <w:r>
        <w:rPr>
          <w:b/>
        </w:rPr>
        <w:t>E. 10</w:t>
      </w:r>
    </w:p>
    <w:p>
      <w:r>
        <w:t>Pour le surplus, le Tribunal constate que le SEM a correctement appliqué les critères de détermination de l'Etat membre responsable au sens des art. 7 ss du règlement Dublin III. La compétence de la Bulgarie est dès lors établie, ce qui n'est du reste pas contesté.</w:t>
      </w:r>
    </w:p>
    <w:p>
      <w:r>
        <w:rPr>
          <w:b/>
        </w:rPr>
        <w:t>E. 11.1</w:t>
      </w:r>
    </w:p>
    <w:p>
      <w:r>
        <w:t>Par ailleurs, de jurisprudence constante et régulièrement actualisée, il n'y a pas de raison de considérer qu'il existe en Bulgarie des défaillances systémiques au sens de l'art. 3 par. 2 du règlement Dublin III. En effet, 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(arrêt de référence du Tribunal F-7195/2018 du 11 février 2020 consid. 6 et, en particulier, consid. 6.6.7). Depuis lors, cette jurisprudence a été confirmée à maintes reprises (cf., p. ex., arrêts du Tribunal F-1966/2025 du 26 mars 2025 consid. 3.3 ; E-1331/2023 du 6 janvier 2025 consid. 6.4).</w:t>
      </w:r>
    </w:p>
    <w:p>
      <w:r>
        <w:rPr>
          <w:b/>
        </w:rPr>
        <w:t>E. 11.2</w:t>
      </w:r>
    </w:p>
    <w:p>
      <w:r>
        <w:t>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11.3</w:t>
      </w:r>
    </w:p>
    <w:p>
      <w:r>
        <w:t>Si cette présomption peut être renversée par des indices sérieux que, dans le cas concret, les autorités ne respecteraient pas le droit international (cf. arrêt du TAF F-606/2025 du 3 mars 2025 consid. 9.3), force est de constater que le recourant n'a pas amené d'éléments probants permettant de parvenir à une telle conclusion. En effet, ses arguments généraux au sujet des carences de la procédure d'asile et des traitements dégradants des requérants en Bulgarie - qui ne sont du reste pas étayés de manière pertinente - ne sont à eux seuls pas suffisants pour remettre en question l'appréciation des autorités suisses à ce sujet.</w:t>
      </w:r>
    </w:p>
    <w:p>
      <w:r>
        <w:rPr>
          <w:b/>
        </w:rPr>
        <w:t>E. 11.4</w:t>
      </w:r>
    </w:p>
    <w:p>
      <w:r>
        <w:t>Au demeurant, si l'intéressé devait, à l'issue de son transfert en Bulgarie,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Tribunal F-2406/2025 du 11 avril 2025 consid. 2.8).</w:t>
      </w:r>
    </w:p>
    <w:p>
      <w:r>
        <w:rPr>
          <w:b/>
        </w:rPr>
        <w:t>E. 11.5</w:t>
      </w:r>
    </w:p>
    <w:p>
      <w:r>
        <w:t>Dans ces conditions, l'application de l'art. 3 par. 2 2ème phrase du règlement Dublin III ne se justifie pas.</w:t>
      </w:r>
    </w:p>
    <w:p>
      <w:r>
        <w:rPr>
          <w:b/>
        </w:rPr>
        <w:t>E. 12</w:t>
      </w:r>
    </w:p>
    <w:p>
      <w:r>
        <w:t>Enfin, le recourant, qui a déclaré souffrir de maux de tête, n'a pas fait valoir de problème médical particulièrement grave. Son état de santé ne constitue dès lors pas un obstacle à son transfert en Bulgarie (cf. arrêts de la CourEDH Paposhvili c. Belgique [GC] du 13 décembre 2016, requête n° 41738/10 ; Savran c. Danemark [GC] du 7 décembre 2021, requête n° 57467/15, par. 122 à 139). Dans ces conditions, le requérant ne saurait être qualifié de «particulièrement vulnérable», de sorte que nul n'est besoin d'obtenir, de la part de la Bulgarie, des garanties individuelles et concrètes s'agissant de sa (re)prise en charge (cf. arrêt de référence F-7195/2018 précité consid. 7.4.1 ss., ainsi que les arrêts du TAF F-6319/2024 du 14 octobre 2024 consid. 5.3 et F-1252/2023 du 15 mars 2023 consid. 6.6).</w:t>
      </w:r>
    </w:p>
    <w:p>
      <w:r>
        <w:rPr>
          <w:b/>
        </w:rPr>
        <w:t>E. 13</w:t>
      </w:r>
    </w:p>
    <w:p>
      <w:r>
        <w:t>Le Tribunal constate par ailleurs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du règlement Dublin III (cf. ATAF 2022 I/6 consid. 4.3.3.1).</w:t>
      </w:r>
    </w:p>
    <w:p>
      <w:r>
        <w:rPr>
          <w:b/>
        </w:rPr>
        <w:t>E. 14</w:t>
      </w:r>
    </w:p>
    <w:p>
      <w:r>
        <w:t>La Bulgarie demeure dès lors l'Etat responsable de l'examen de la demande d'asile du recourant au sens du règlement Dublin III et est tenue de le reprendre en charge.</w:t>
      </w:r>
    </w:p>
    <w:p>
      <w:r>
        <w:rPr>
          <w:b/>
        </w:rPr>
        <w:t>E. 15.1</w:t>
      </w:r>
    </w:p>
    <w:p>
      <w:r>
        <w:t>Dans ces conditions, c'est à bon droit que l'autorité inférieure n'est pas entrée en matière sur la demande d'asile de l'intéressé, en application de l'art. 31a al. 1 let. b LAsi, et a prononcé son transfert vers la Bulgarie. Par conséquent, le recours est rejeté.</w:t>
      </w:r>
    </w:p>
    <w:p>
      <w:r>
        <w:rPr>
          <w:b/>
        </w:rPr>
        <w:t>E. 15.2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16.1</w:t>
      </w:r>
    </w:p>
    <w:p>
      <w:r>
        <w:t>Dans la mesure où il a été immédiatement statué sur le fond, la requête formulée dans le recours tendant à l'octroi de l'effet suspensif est sans objet.</w:t>
      </w:r>
    </w:p>
    <w:p>
      <w:r>
        <w:rPr>
          <w:b/>
        </w:rPr>
        <w:t>E. 16.2</w:t>
      </w:r>
    </w:p>
    <w:p>
      <w:r>
        <w:t>Les conclusions du recours étant d'emblée vouées à l'échec, la demande d'assistance judiciaire partielle est rejetée (art. 65 al. 1 PA et 102m al. 1 LAsi).</w:t>
      </w:r>
    </w:p>
    <w:p>
      <w:r>
        <w:rPr>
          <w:b/>
        </w:rPr>
        <w:t>E. 16.3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