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F-924/2018 vom 7. Oktober 2019</w:t>
      </w:r>
    </w:p>
    <w:p>
      <w:r>
        <w:t>Bundesverwaltungsgericht, 2019-10-07, DE</w:t>
      </w:r>
    </w:p>
    <w:p>
      <w:r>
        <w:rPr>
          <w:b/>
        </w:rPr>
        <w:t xml:space="preserve">Quelle: </w:t>
      </w:r>
      <w:r>
        <w:t>https://mcp.opencaselaw.ch/entscheid/bvger_F-924_2018</w:t>
      </w:r>
    </w:p>
    <w:p>
      <w:r>
        <w:t>FR: TAF F-924/2018 du 7 octobre 2019</w:t>
      </w:r>
    </w:p>
    <w:p>
      <w:r>
        <w:t>IT: TAF F-924/2018 del 7 ottobre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In formeller Hinsicht macht der Beschwerdeführer geltend, die angefochtene Verfügung sei schon deshalb aufzuheben, weil ihm die Vorinstanz kein rechtliches Gehör zur beabsichtigten SIS-Ausschreibung eingeräumt habe. Letzteres trifft zwar insoweit zu, als ihm die Vorinstanz mit Schreiben vom 8. Dezember 2017 - dieses gerichtet an seinen Rechtsvertreter - ein Einreiseverbot in Aussicht stellte und Gelegenheit zur Stellungnahme bot, ohne die Ausschreibung im SIS II explizit zu erwähnen. Dem Rechtsvertreter, welcher sich daraufhin am 5. Januar 2018 zum beabsichtigten Einreiseverbot äusserte, ist allerdings entgegenzuhalten, dass dieser die Akzessorietät beider Massnahmen hätte kennen und wissen müssen, dass ein Einreiseverbot, je nach Bedeutung des Falles, die Ausschreibung zur Einreiseverweigerung im Schengener Informationssystem (SIS II) nach sich zieht (vgl. Art. 21 und Art. 24 SIS II-Verordnung sowie Art. 20 - 22 der Verordnung über den nationalen Teil des Schengener Informationssystems (N- SIS) und das SIRENE-Büro (N-SIS-Verordnung vom 8. März 2013 [SR 362.0]). Der Beschwerdeführer hätte somit ohne Weiteres noch vor Verfügungserlass auf sein Aufenthaltsrecht in Deutschland hinweisen und dadurch die SIS-Ausschreibung verhindern können.</w:t>
      </w:r>
    </w:p>
    <w:p>
      <w:r>
        <w:rPr>
          <w:b/>
        </w:rPr>
        <w:t>E. 3.2</w:t>
      </w:r>
    </w:p>
    <w:p>
      <w:r>
        <w:t>Vor diesem Hintergrund war die Verfügung in dem Zeitpunkt, in welchem sie erlassen wurde, nicht zu beanstanden. Der erst im Beschwerdeverfahren erfolgte Hinweis auf den in Deutschland bestehenden Aufenthaltstitel führte nachträglich zur Aufhebung der SIS-Ausschreibung, weshalb das vorliegende Beschwerdeverfahren in diesem Punkt gegenstandslos geworden ist.</w:t>
      </w:r>
    </w:p>
    <w:p>
      <w:r>
        <w:rPr>
          <w:b/>
        </w:rPr>
        <w:t>E. 4.1</w:t>
      </w:r>
    </w:p>
    <w:p>
      <w:r>
        <w:t>Landesrechtliche Grundlage der angefochtenen Verfügung vom 10. Januar 2018 ist Art. 67 des Ausländer- und Integrationsgesetzes (AIG, SR 142.20). Dieser ist inhaltlich identisch mit Art. 67 des Ausländergesetzes (AuG), welches auf den 1. Januar 2019 hin eine namentliche und inhaltliche Anpassung erfuhr. Die Absätze 1 und 2 dieser Bestimmung zählen eine Reihe von Tatbeständen auf, welche unter Vorbehalt von Absatz 5 ein Einreiseverbot nach sich ziehen oder nach sich ziehen können.</w:t>
      </w:r>
    </w:p>
    <w:p>
      <w:r>
        <w:rPr>
          <w:b/>
        </w:rPr>
        <w:t>E. 4.2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4.3</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inhaltlich identisch mit 80 Abs. 1 Bst. a VZAE in der bis zum 31. Dezember 2018 geltenden Fassung).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inhaltlich identisch mit 80 Abs. 2 VZAE in der bis zum 31. Dezember 2018 geltenden Fassung). Bestand ein solches Verhalten in der Vergangenheit, so wird die Gefahr entsprechender künftiger Störungen von Gesetzes wegen vermutet (vgl. Botschaft, a.a.O. S. 3760 sowie Urteil des BVGer F-7649/2016 vom 13. März 2018 E. 3.2 m.H.).</w:t>
      </w:r>
    </w:p>
    <w:p>
      <w:r>
        <w:rPr>
          <w:b/>
        </w:rPr>
        <w:t>E. 5.1</w:t>
      </w:r>
    </w:p>
    <w:p>
      <w:r>
        <w:t>Im vorliegenden Fall hat die Vorinstanz die angefochtene Verfügung mit der Verurteilung des Beschwerdeführers vom 12. November 2014 begründet. Zweifellos stellen die ihr zugrundeliegenden Delikte (vgl. Sachverhalt A) Verstösse gegen die öffentliche Sicherheit und Ordnung dar, was vom Beschwerdeführer auch gar nicht bestritten wird. Allerdings meint er, die von ihm ausgehende Gefahr sei zu relativieren, weil die von ihm letztmals im Jahr 2010 begangenen Straftaten schon lange zurücklägen und er mittlerweile seine Bereitschaft, sich an die hiesige Rechtsordnung zu halten, unter Beweis gestellt habe. Das von ihm behauptete Wohlverhalten erlaubt im gegenwärtigen Zeitpunkt jedoch noch keine günstige Gefahrenprognose, zumal im bundesgerichtlichen Verfahren, welches den Widerruf seiner Niederlassungsbewilligung zum Gegenstand hatte, das sicherheitspolizeiliche Interesse an der Wegweisung als erheblich eingestuft wurde (vgl. zitiertes Urteil des BGer 2C_169/2017 E. 3.8). Auch im dortigen Verfahren hatte der Beschwerdeführer dieselben Einwände wie im vorliegenden Verfahren vorgebracht und insbesondere auf seine Kooperation bei der Strafuntersuchung, die fehlenden Vorstrafen und die Gewährung des teilbedingten Strafvollzugs hingewiesen. Das Bundesgericht hat diese Einwände unberücksichtigt gelassen. Dabei hat es zum einen klargestellt, dass die genannten strafmildernden Gründe im Strafmass von 36 Monaten - schon dieses indiziere ein erhebliches migrationsrechtliches Verschulden - berücksichtigt worden seien, zum anderen, dass der bedingte Strafaufschub die Regel sei, von welcher nur bei explizit ungünstiger Prognose abgewichen werden dürfe. Darüber hinaus hat das Bundesgericht betont, dass der strafrechtlichen Verurteilung eine fortgesetzte Delinquenz von mindestens fünf Jahren zugrunde gelegen habe, womit der Beschwerdeführer seine über mehrere Jahre anhaltende Bereitschaft zu Gesetzesbrüchen demonstriert habe (vgl. zitiertes Urteil des BGer 2C_169/2017 E. 3.6). Diese Argumentation lässt sich auf das vorliegende Verfahren, in welchem es um die Fernhaltung des Beschwerdeführers geht, übertragen.</w:t>
      </w:r>
    </w:p>
    <w:p>
      <w:r>
        <w:rPr>
          <w:b/>
        </w:rPr>
        <w:t>E. 5.2</w:t>
      </w:r>
    </w:p>
    <w:p>
      <w:r>
        <w:t>Die Vorinstanz hat das über den Beschwerdeführer verhängte Einreiseverbot auf fünf Jahre befristet. Die Dauer der Massnahme liegt demzufolge an der obersten Grenze der in Art. 67 Abs. 3 Satz 1 AIG genannten Regelhöchstdauer, welche - gemäss Satz 2 - lediglich dann überschritten werden darf, wenn die betroffene Person eine schwerwiegende Gefahr für die öffentliche Sicherheit und Ordnung darstellt. Insoweit ist festzustellen, dass die vom Beschwerdeführer begangenen Delikte weder hochwertige Rechtsgüter wie beispielsweise Leib und Leben betreffen noch zur Schwerkriminalität mit u.a. grenzüberschreitendem Charakter gehören und daher, einzeln betrachtet, für keine derartige Gefahr sprechen. Gesamthaft betrachtet befinden sie sich angesichts ihrer Kontinuität und insbesondere angesichts der betrügerisch erschlichenen finanziellen Leistungen von mehr als 1,2 Millionen Franken - darunter auch öffentliche Gelder - äusserst nahe an der Grenze, an welcher sie potenziell eine aktuelle und schwerwiegende Gefahr begründen (zur Schwere der vom Beschwerdeführer begangenen Delikte: siehe zitiertes Urteil des BGer 2C_169/2017 E. 3.3; zu den Voraussetzungen der schwerwiegenden Gefahr bzw. der Anwendbarkeit von Art. 67 Abs. 3 Satz 2 AIG: vgl. insbesondere BGE 139 II 121 E. 6.3 und BVGE 2013/4 E. 7.2.4).</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6.2</w:t>
      </w:r>
    </w:p>
    <w:p>
      <w:r>
        <w:t>Das vom Beschwerdeführer an den Tag gelegte strafbare Verhalten und dessen Begleitumstände indizieren ein erhebliches öffentliches Interesse an der Fernhaltung. Das infolgedessen anzuordnende Einreiseverbot hat vor allem spezialpräventiven Charakter: Während seiner Gültigkeit soll es dem Beschwerdeführer die Möglichkeit nehmen, seine Delinquenz fortzuführen; für die Zeit danach soll es warnend wirken und ihn bei künftigen Einreisen in schweizerisches oder liechtensteinisches Gebiet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 Vor diesem Hintergrund ist das für die Dauer von fünf Jahren verfügte Einreiseverbot - vorbehältlich der noch durchzuführenden Interessenabwägung - prinzipiell nicht zu beanstanden.</w:t>
      </w:r>
    </w:p>
    <w:p>
      <w:r>
        <w:rPr>
          <w:b/>
        </w:rPr>
        <w:t>E. 6.3</w:t>
      </w:r>
    </w:p>
    <w:p>
      <w:r>
        <w:t>Dem öffentlichen Interesse an seiner Fernhaltung sind die privaten Interessen des Beschwerdeführers gegenüberzustellen. Dieser beruft sich in seiner Rechtsmitteleingabe auf seinen hiesigen 25-jährigen Aufenthalt und seine starke Verbundenheit mit der Schweiz, Aspekte, welche schon aufgrund der widerrufenen Niederlassungsbewilligung nicht in Betracht fallen. Den in der Schweiz bestehenden verwandtschaftlichen Beziehungen kommt ebenfalls kein entscheidendes Gewicht zu. Derartige Beziehungen können die Verhältnismässigkeit der Massnahme schon deshalb nicht in Frage stellen, weil ansonsten das Instrument des Einreiseverbots gegenüber allen Personen mit Familienangehörigen in der Schweiz per se unzulässig wäre (vgl. Urteil des BGer 2C_270/2015 vom 6. August 2015 E. 8.2). Zudem gehören die in der Schweiz lebenden Verwandten des Beschwerdeführers, zu denen nähere Angaben fehlen, ganz offensichtlich nicht zur Kernfamilie. Die aus seiner ausserehelichen Beziehung hervorgegangenen Kinder - geboren 1994, 1996 und 1998 - zählen jedenfalls, unabhängig vom derzeitigen Lebensmittelpunkt, schon aufgrund ihrer Volljährigkeit nicht mehr dazu. Dass der Beschwerdeführer die in der Schweiz vorhandenen verwandtschaftlichen und freundschaftlichen Kontakte nicht mehr vor Ort pflegen kann, hat er als zwangsläufige Folge des Einreiseverbots hinzunehmen.</w:t>
      </w:r>
    </w:p>
    <w:p>
      <w:r>
        <w:rPr>
          <w:b/>
        </w:rPr>
        <w:t>E. 6.4</w:t>
      </w:r>
    </w:p>
    <w:p>
      <w:r>
        <w:t>Nach alledem führt die Abwägung der vorliegenden öffentlichen und privaten Interessen zum Ergebnis, dass das auf fünf Jahre befristete Einreiseverbot eine verhältnismässige und angemessene Massnahme zum Schutz der öffentlichen Sicherheit und Ordnung darstellt.</w:t>
      </w:r>
    </w:p>
    <w:p>
      <w:r>
        <w:rPr>
          <w:b/>
        </w:rPr>
        <w:t>E. 7</w:t>
      </w:r>
    </w:p>
    <w:p>
      <w:r>
        <w:t>Die angefochtene Verfügung war somit bundesrechtskonform (vgl. Art. 49 VwVG). Das vom Beschwerdeführer erst in der Rechtsmitteleingabe geltend gemachte Aufenthaltsrecht in Deutschland führte dazu, dass die Vor-instanz die SIS-Ausschreibung aufhob und dass die Beschwerde insoweit gegenstandslos wurde. Bezüglich des verbliebenen Verfahrensgegenstands - des Einreiseverbots für die Schweiz und Liechtenstein - ist die Beschwerde demzufolge abzuweisen.</w:t>
      </w:r>
    </w:p>
    <w:p>
      <w:r>
        <w:rPr>
          <w:b/>
        </w:rPr>
        <w:t>E. 8</w:t>
      </w:r>
    </w:p>
    <w:p>
      <w:r>
        <w:t>Da der Beschwerdeführer die teilweise Gegenstandslosigkeit des Verfahrens bewirkt hat (vgl. E. 3.1), sind ihm entsprechend dem Ausgang des Verfahrens die gesamten Verfahrenskosten aufzuerlegen (Art. 63 Abs. 1 VwVG, Art. 1 f. und Art. 5 des Reglements über die Kosten und Entschädigungen vor dem Bundesverwaltungsgericht vom 21. Februar 2008 [VGKE, SR 173.320.2]). Aufgrund des insoweit vollständigen Unterliegens steht ihm auch keine Parteientschädigung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