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F-9228/2025 vom 24. November 2025</w:t>
      </w:r>
    </w:p>
    <w:p>
      <w:r>
        <w:t>Bundesverwaltungsgericht, 2025-11-24, DE</w:t>
      </w:r>
    </w:p>
    <w:p>
      <w:r>
        <w:rPr>
          <w:b/>
        </w:rPr>
        <w:t xml:space="preserve">Quelle: </w:t>
      </w:r>
      <w:r>
        <w:t>https://mcp.opencaselaw.ch/entscheid/bvger_F-9228_2025_d20251124</w:t>
      </w:r>
    </w:p>
    <w:p>
      <w:r>
        <w:t>FR: TAF F-9228/2025 du 24 novembre 2025</w:t>
      </w:r>
    </w:p>
    <w:p>
      <w:r>
        <w:t>IT: TAF F-9228/2025 del 24 novembre 2025</w:t>
      </w:r>
    </w:p>
    <w:p>
      <w:pPr>
        <w:pStyle w:val="Heading2"/>
      </w:pPr>
      <w:r>
        <w:t>Regeste</w:t>
      </w:r>
    </w:p>
    <w:p>
      <w:r>
        <w:t>Zuweisung der Asylsuchenden an die Kantone | Zuweisung der Asylsuchenden an die Kantone; Verfügung des SEM vom 24. November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Verfahren richtet sich nach dem VwVG, soweit das VGG oder das AsylG nichts anderes bestimmt (Art. 6 AsylG, Art. 37 VGG).</w:t>
      </w:r>
    </w:p>
    <w:p>
      <w:r>
        <w:rPr>
          <w:b/>
        </w:rPr>
        <w:t>E. 1.2</w:t>
      </w:r>
    </w:p>
    <w:p>
      <w:r>
        <w:t>Das Bundesverwaltungsgericht ist zuständig (Art. 105 AsylG i.V.m. Art. 31 VGG) und die Sachurteilsvoraussetzungen sind erfüllt, sodass auf die Beschwerde einzutreten ist (Art. 48 Abs. 1 VwVG, Art. 108 Abs. 3 AsylG und Art. 52 Abs. 1 VwVG). Das Bundesverwaltungsgericht entscheidet dar- über endgültig (Art. 83 Bst. d Ziff. 1 BGG).</w:t>
      </w:r>
    </w:p>
    <w:p>
      <w:r>
        <w:t>F-9228/2025 Seite 3</w:t>
      </w:r>
    </w:p>
    <w:p>
      <w:r>
        <w:rPr>
          <w:b/>
        </w:rPr>
        <w:t>E. 1.3</w:t>
      </w:r>
    </w:p>
    <w:p>
      <w:r>
        <w:t>Die Beschwerde erweist sich als offensichtlich begründet, weshalb sie im Verfahren einzelrichterlicher Zuständigkeit mit Zustimmung einer zwei- ten Richterin respektive eines zweiten Richters (Art. 111 Bst. e AsylG), ohne Durchführung eines Schriftenwechsels und mit summarischer Be- gründung (Art. 111a Abs. 1 und 2 AsylG) zu behandeln ist.</w:t>
      </w:r>
    </w:p>
    <w:p>
      <w:r>
        <w:rPr>
          <w:b/>
        </w:rPr>
        <w:t>E. 2</w:t>
      </w:r>
    </w:p>
    <w:p>
      <w:r>
        <w:t>Wie das Bundesverwaltungsgericht zuletzt wiederholt festgehalten hat, ha- ben nach geltender Rechtsprechung Flüchtlinge einen grundsätzlichen An- spruch auf Wahl ihres Aufenthaltsorts und kommt Art. 27 Abs. 3 AsylG auf diese nicht zu Anwendung (siehe Urteil des BVGer F-3852/2025 vom 4. Juli 2025 E. 2.2 und die dort zitierte Rechtsprechung; Art. 26 FK, Art. 58 AsylG, Art. 37 Abs. 3 AIG). Mithin ist hinsichtlich der Kantonszuweisung der Be- schwerdeführenden rechtserheblich, ob diese in einen bestimmen Kanton zugewiesen werden wollen und wenn ja, in welchen. Die Vorinstanz hätte dies entsprechend abzuklären gehabt – nicht zuletzt auch, um einen ver- fahrensökonomischen Leerlauf über ein auf anderweitige Zuweisung fol- gendes Kantonswechselgesuch zu vermeiden. Darüber hinaus hätte sie abklären müssen, ob einer Zuweisung gemäss dem Wunsch der Be- schwerdeführenden ein Widerrufsgrund nach (Art. 37 Abs. 3 i.V.m.) Art. 63 AIG entgegensteht und, falls ja, ob sich eine hierauf gestützte Verweige- rung der gewünschten Zuweisung als verhältnismässig erweist. Indem die Vorinstanz die Beschwerdeführenden dem Kanton C._______ zugewiesen hat, ohne ihren Zuweisungswunsch und das allfällige Vorliegen von Wider- rufsgründen abzuklären, hat sie den rechtserheblichen Sachverhalt unvoll- ständig ermittelt (Art. 106 Abs. 1 Bst. b AsylG).</w:t>
      </w:r>
    </w:p>
    <w:p>
      <w:r>
        <w:rPr>
          <w:b/>
        </w:rPr>
        <w:t>E. 3</w:t>
      </w:r>
    </w:p>
    <w:p>
      <w:r>
        <w:t>Entgegen dem Hauptantrag der Beschwerdeführenden auf reformatori- sche Gutheissung kommt mit Blick auf die erforderlichen Sachverhaltsab- klärungen – namentlich hinsichtlich allfälliger Widerrufsgründe nach Art. 63 AIG und Verhältnismässigkeit einer darauf gestützten Verweigerung der gewünschten Zuweisung – einzig ein kassatorischer Entscheid in Frage (Art. 61 Abs. 1 VwVG). Die angefochtene Dispositivziffer 4 ist daher in Gut- heissung des Eventualantrags aufzuheben und die Sache zur vollständi- gen Sachverhaltsermittlung und Neubeurteilung im Sinne der Erwägungen an die Vorinstanz zurückzuweisen.</w:t>
      </w:r>
    </w:p>
    <w:p>
      <w:r>
        <w:t>F-9228/2025 Seite 4</w:t>
      </w:r>
    </w:p>
    <w:p>
      <w:r>
        <w:rPr>
          <w:b/>
        </w:rPr>
        <w:t>E. 4.1</w:t>
      </w:r>
    </w:p>
    <w:p>
      <w:r>
        <w:t>Bei diesem Ausgang des Verfahrens sind keine Kosten zu erheben (Art. 63 Abs. 1 und 2 VwVG). Das Gesuch um unentgeltliche Rechtspflege ist damit gegenstandslos geworden.</w:t>
      </w:r>
    </w:p>
    <w:p>
      <w:r>
        <w:rPr>
          <w:b/>
        </w:rPr>
        <w:t>E. 4.2</w:t>
      </w:r>
    </w:p>
    <w:p>
      <w:r>
        <w:t>Trotz ihres Obsiegens ist den vertretenen Beschwerdeführenden keine Parteientschädigung zuzusprechen, da es sich vorliegend um eine zuge- wiesene unentgeltliche Rechtsvertretung im Sinne von Art. 102h AsylG handelt, deren Leistungen vom Bund nach Massgabe von Art. 102k AsylG entschädigt werden (vgl. auch Art. 111ater AsylG).</w:t>
      </w:r>
    </w:p>
    <w:p>
      <w:r>
        <w:t>F-9228/2025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