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F-91/2017 vom 14. Dezember 2017</w:t>
      </w:r>
    </w:p>
    <w:p>
      <w:r>
        <w:t>Bundesverwaltungsgericht, 2017-12-14, DE</w:t>
      </w:r>
    </w:p>
    <w:p>
      <w:r>
        <w:rPr>
          <w:b/>
        </w:rPr>
        <w:t xml:space="preserve">Quelle: </w:t>
      </w:r>
      <w:r>
        <w:t>https://mcp.opencaselaw.ch/entscheid/bvger_F-91_2017</w:t>
      </w:r>
    </w:p>
    <w:p>
      <w:r>
        <w:t>FR: TAF F-91/2017 du 14 décembre 2017</w:t>
      </w:r>
    </w:p>
    <w:p>
      <w:r>
        <w:t>IT: TAF F-91/2017 del 14 dicembre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1.2</w:t>
      </w:r>
    </w:p>
    <w:p>
      <w:r>
        <w:t>Das Rechtsmittelverfahren vor dem Bundesverwaltungsgericht richtet sich nach dem VwVG, soweit das VGG nichts anderes bestimmt (Art. 37 VGG).</w:t>
      </w:r>
    </w:p>
    <w:p>
      <w:r>
        <w:rPr>
          <w:b/>
        </w:rPr>
        <w:t>E. 1.3</w:t>
      </w:r>
    </w:p>
    <w:p>
      <w:r>
        <w:t>Die Beschwerde ist frist- und formgerecht eingereicht (Art. 50 Abs. 1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1.4</w:t>
      </w:r>
    </w:p>
    <w:p>
      <w:r>
        <w:t>Das Bundesverwaltungsgericht entscheidet in der vorliegenden Angelegenheit endgültig (vgl. Art. 83 Bst. c Ziff. 1 BGG); ein zweitinstanzlicher Rechtsmittelweg gegen ein Einreiseverbot würde lediglich Angehörigen der Mitgliedstaaten der Europäischen Union (EU) oder der Europäischen Freihandelsassoziation (EFTA) offenstehen (Art. 11 Abs. 3 FZA [SR 0.142.112.681]).</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 m.H.).</w:t>
      </w:r>
    </w:p>
    <w:p>
      <w:r>
        <w:rPr>
          <w:b/>
        </w:rPr>
        <w:t>E. 3.1</w:t>
      </w:r>
    </w:p>
    <w:p>
      <w:r>
        <w:t>Landesrechtliche Grundlage der vorinstanzlichen Verfügung vom 10. März 2017 bildet Art. 67 AuG (SR 142.20), der in den Absätzen 1 und 2 verschiedene Tatbestände aufführt, die ein Einreiseverbot nach sich ziehen oder nach sich ziehen können. So verfügt das SEM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gestützt auf Art. 67 Abs. 2 AuG Einreiseverbote gegen ausländische Personen erlassen, die gegen die öffentliche Sicherheit und Ordnung verstossen haben oder diese gefährden (Bst. a), Sozialhilfekosten verursacht haben (Bst. b), oder die in Vorbereitungs-, Ausschaffungs- oder Durchsetzungshaft genommen worden sind (Bst. c). Das Einreiseverbot wird für eine Dauer von höchstens fünf Jahren verfügt. Es kann für eine längere Dauer angeordnet werden, wenn die betroffene Person eine schwerwiegende Gefahr für die öffentliche Sicherheit und Ordnung darstellt (Art. 67 Abs. 3 AuG). Aus humanitären oder anderen wichtigen Gründen kann die verfügende Behörde ausnahmsweise von der Verhängung eines Einreiseverbots absehen oder ein Einreiseverbot endgültig oder vorübergehend aufheben (Art. 67 Abs. 5 AuG).</w:t>
      </w:r>
    </w:p>
    <w:p>
      <w:r>
        <w:rPr>
          <w:b/>
        </w:rPr>
        <w:t>E. 3.2</w:t>
      </w:r>
    </w:p>
    <w:p>
      <w:r>
        <w:t>Das Einreiseverbot stellt keine Sanktion für vergangenes Fehlverhalten dar, sondern dient der Abwendung einer künftigen Störung der öffentlichen Sicherheit und Ordnung (vgl. Botschaft zum Bundesgesetz über die Ausländerinnen und Ausländer vom 8. März 2002 [nachfolgend: Botschaft] BBl 2002 3813; vgl. dazu auch BVGE 2008/24 E. 4.2). Die öffentliche Sicherheit und Ordnung im Sinne von Art. 67 Abs. 2 Bst. a AuG bildet den Oberbegriff der polizeilichen Schutzgüter. Dabei umfasst die öffentliche Ordnung die Gesamtheit der ungeschriebenen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(Leben, Gesundheit, Freiheit, Eigentum usw.) sowie der Einrichtungen des Staates (Botschaft, a.a.O., S. 3809). Ein Verstoss gegen die öffentliche Sicherheit und Ordnung liegt unter anderem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dagegen setzt konkrete Anhaltspunkte dafür voraus,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Urteil des BVGer C-988/2015 vom 29. Oktober 2015 E. 6.2 m.H.).</w:t>
      </w:r>
    </w:p>
    <w:p>
      <w:r>
        <w:rPr>
          <w:b/>
        </w:rPr>
        <w:t>E. 4.1</w:t>
      </w:r>
    </w:p>
    <w:p>
      <w:r>
        <w:t>Zur Begründung der bis am 19. November 2019 verlängerten Fernhaltemassnahme führte das SEM aus, der Beschwerdeführer sei zum wiederholten Mal trotz gültigem, gegen ihn verfügtem Einreiseverbot in die Schweiz eingereist. Bei der polizeilichen Einvernahme habe er angegeben, dass dies im Wissen um das Einreiseverbot geschehen sei. Der Beschwerdeführer habe von der dafür zuständigen Migrationsbehörde weggewiesen werden müssen. Vorliegend hätten konkrete Anzeichen befürchten lassen, dass er sich der Ausschaffung entziehen wolle (Art. 64d Abs. 2 Bst. b AuG), weshalb er in Ausschaffungshaft habe genommen werden müssen (Art. 67 Abs. 2 Bst. c AuG). Angesichts dieser Verstösse und der damit einhergehenden Gefährdung der öffentlichen Sicherheit und Ordnung sei die Verlängerung der bestehenden Fernhaltemassnahme um ein Jahr gerechtfertigt. Private Interessen, die das öffentliche Interesse an künftigen kontrollierten Einreisen überwiegen könnten, ergäben sich weder aus den Akten noch seien solche im Rahmen des rechtlichen Gehörs geltend gemacht worden. Die getroffene Massnahme zum Schutz der öffentlichen Sicherheit und Ordnung sei als verhältnismässig zu erachten. Aus denselben Gründen werde zur Wahrung der öffentlichen Ordnung und Sicherheit einer Beschwerde die aufschiebende Wirkung entzogen (Art. 55 Abs. 2 VwVG).</w:t>
      </w:r>
    </w:p>
    <w:p>
      <w:r>
        <w:rPr>
          <w:b/>
        </w:rPr>
        <w:t>E. 4.2</w:t>
      </w:r>
    </w:p>
    <w:p>
      <w:r>
        <w:t>In der Rechtsmitteleingabe bringt der Beschwerdeführer im Wesentlichen vor, er sei am 4. Dezember 2016 trotz bestehenden Einreiseverbots von B._______ durch die Schweiz gereist, weil dies für ihn der kürzeste Weg gewesen sei, um nach Italien und von dort via C._______ nach D._______ zu gelangen. Sein Sohn E._______ habe einen Schlaganfall erlitten, weshalb er dringend nach D._______ habe reisen wollen. Er habe nicht auf dem Luftweg reisen können, weil das Verfahren zur Verlängerung seiner italienischen Aufenthaltsbewilligung noch im Gange sei. Er möchte sich entschuldigen, dass er trotz des Einreiseverbots in die Schweiz eingereist sei. Auch seine restliche Familie befinde sich hier und er möchte sie ab und zu besuchen. Seine Mutter sei alt, habe ebenfalls einen Hirnschlag erlitten und könne nicht viel reisen. Er sei in der Schweiz aufgewachsen und habe hier eine Berufslehre als F._______ abgeschlossen. Die Schweiz sei wie eine zweite Heimat für ihn. Sein Herzenswunsch sei ein positiver Entscheid. Er möchte sich in der Schweiz ebenso frei bewegen können wie im übrigen Europa.</w:t>
      </w:r>
    </w:p>
    <w:p>
      <w:r>
        <w:rPr>
          <w:b/>
        </w:rPr>
        <w:t>E. 4.3</w:t>
      </w:r>
    </w:p>
    <w:p>
      <w:r>
        <w:t>In ihrer Vernehmlassung hält die Vorinstanz im Wesentlichen fest, es sei unbestritten, dass der Beschwerdeführer mehrmals wissentlich gegen das Einreiseverbot verstossen habe und deshalb die Fernhaltemassnahme insgesamt zwei Mal habe verlängert werden müssen. Aufgrund des im Beschwerdeverfahren eingereichten Arztzeugnisses werde anerkannt, dass der Beschwerdeführer so schnell wie möglich zu seinem Sohn in den Kosovo habe reisen wollen und deshalb unter psychischem Druck gestanden sei. Das SEM sei daher bereit, die Fernhaltemassnahme um zwei Jahre - bis 19. November 2019 - zu kürzen. Was die Besuche bei seinen in der Schweiz ansässigen Familienangehörigen betreffe, stehe dem Beschwerdeführer die Möglichkeit offen, die zeitweilige Suspendierung des Einreiseverbots zu beantragen (Art. 67 Abs. 5 AuG). Das bis 19. November 2019 bestehende Einreiseverbot erweise sich unter Berücksichtigung der gesamten Umstände als gerechtfertigt und von der Dauer her als verhältnismässig.</w:t>
      </w:r>
    </w:p>
    <w:p>
      <w:r>
        <w:rPr>
          <w:b/>
        </w:rPr>
        <w:t>E. 5.1</w:t>
      </w:r>
    </w:p>
    <w:p>
      <w:r>
        <w:t>Gemäss Art. 6 Abs. 1 Bst. a und b der Verordnung (EU) Nr. 2016/399 des Europäischen Parlaments und des Rates vom 9. März 2016 über einen Gemeinschaftskodex für das Überschreiten der Grenzen durch Personen (Schengener-Grenzkodex, SGK, Abl. L 77/1 vom 23. März 2016; kodifizierter Text) müssen Drittstaatsangehörige über ein für den Grenzübertritt anerkanntes Ausweispapier und über ein Visum verfügen, sofern dies erforderlich ist. Von der Visumspflicht befreit sind Personen, die Inhaber eines gültigen Aufenthaltstitels eines Schengen-Staates sind oder über ein Visum zum längerfristigen Aufenthalt verfügen. Diese Dokumente müssen bei Kontrollen vorgewiesen werden können (vgl. Art. 8 SGK). Wird bei einer Kontrolle festgestellt, dass ein Drittstaatsangehöriger die Voraussetzungen nicht oder nicht mehr erfüllt, wird sein Aufenthalt als illegal angesehen (vgl. Art. 3 Ziff. 2 der Rückführungsrichtlinie 2008/115/EG des Europäischen Parlaments und des Rates vom 16. Dezember 2008, Abl. L 348/98 vom 24. Dezember 2008). Der Beschwerdeführer unterliegt als kosovarischer Staatsangehöriger grundsätzlich der Visumspflicht (vgl. dazu www.sem.admin.ch &gt; Einreise und Aufenthalt &gt; kurzfristiger Aufenthalt &gt; Drittstaatsangehörige &gt; Anhang 1, Liste 1: Ausweis- und Visumsvorschriften nach Staatsangehörigkeit &gt; Kosovo; Version vom 7. August 2017).</w:t>
      </w:r>
    </w:p>
    <w:p>
      <w:r>
        <w:rPr>
          <w:b/>
        </w:rPr>
        <w:t>E. 5.2.1</w:t>
      </w:r>
    </w:p>
    <w:p>
      <w:r>
        <w:t>Anlässlich der polizeilichen Verkehrskontrolle vom 4. Dezember 2016 wurde festgestellt, dass der Beschwerdeführer trotz eines vom 20. November 2015 bis am 19. November 2018 gültigen Einreiseverbots in die Schweiz eingereist war. Gemäss dem von der Polizei erstellten Effektenverzeichnis trug er einen kosovarischen Reisepass (gültig bis am 11. Februar 2019) und eine italienische Aufenthaltsbewilligung (abgelaufen am 4. März 2016) bei sich.</w:t>
      </w:r>
    </w:p>
    <w:p>
      <w:r>
        <w:rPr>
          <w:b/>
        </w:rPr>
        <w:t>E. 5.2.2</w:t>
      </w:r>
    </w:p>
    <w:p>
      <w:r>
        <w:t>Durch die im Wissen um die bestehende Fernhaltemassnahme erfolgte Einreise in die Schweiz und den anschliessenden Aufenthalt hierzulande ohne die erforderliche (gültige) italienische Aufenthaltsbewilligung beziehungsweise ein zur Einreise in die Schweiz berechtigendes Visum hat sich der Beschwerdeführer strafbar gemacht. Er hat mit seinem Fehlverhalten gegen die öffentliche Sicherheit und Ordnung verstossen. Unbehelflich erweist sich der Umstand, wonach der Beschwerdeführer ein Dokument mitgeführt haben will, welches bestätige, dass er in Italien die Verlängerung seiner Aufenthaltsbewilligung beantragt habe (vgl. Protokoll der polizeilichen Einvernahme vom 4. Dezember 2016, SEM-act. 13, S. 96 Ziff. 31). Mit seiner Einschätzung, die Bestätigung berechtige ihn zu reisen, geht er fehl, erlaubt doch auch diese keine visumsfreie Einreise beziehungsweise den Aufenthalt im Gebiet der Schengen-Staaten.</w:t>
      </w:r>
    </w:p>
    <w:p>
      <w:r>
        <w:rPr>
          <w:b/>
        </w:rPr>
        <w:t>E. 5.3</w:t>
      </w:r>
    </w:p>
    <w:p>
      <w:r>
        <w:t>Als Zwischenergebnis ist festzustellen, dass der Beschwerdeführer hinreichenden Anlass für die Verlängerung des bestehenden Einreiseverbots gegeben hat.</w:t>
      </w:r>
    </w:p>
    <w:p>
      <w:r>
        <w:rPr>
          <w:b/>
        </w:rPr>
        <w:t>E. 6.1</w:t>
      </w:r>
    </w:p>
    <w:p>
      <w:r>
        <w:t>Zu prüfen bleibt, ob die Massnahme in richtiger Ausübung des Ermessens ergangen und angemessen ist. Zentrale Bedeutung kommt dabei dem Grundsatz der Verhältnismässigkeit zu, der eine wertende Abwägung zwischen den öffentlichen Interessen an der Massnahme einerseits und den von der Massnahme beeinträchtigten privaten Interessen des Verfügungsbelasteten andererseits verlangt. Die Stellung der verletzten oder gefährdeten Rechtsgüter, die Besonderheiten des ordnungswidrigen Verhaltens und die persönlichen Verhältnisse der betroffenen ausländischen Person bilden dabei den Ausgangspunkt der Überlegungen (Art. 96 AuG; ferner statt vieler HÄFELIN/MÜLLER/UHLMANN, Allgemeines Verwaltungsrecht, 7. Aufl. 2016, Rz. 555 ff.).</w:t>
      </w:r>
    </w:p>
    <w:p>
      <w:r>
        <w:rPr>
          <w:b/>
        </w:rPr>
        <w:t>E. 6.2</w:t>
      </w:r>
    </w:p>
    <w:p>
      <w:r>
        <w:t>Der Beschwerdeführer hat mit seinem Verhalten gegen die öffentliche Sicherheit und Ordnung verstossen und diese gefährdet. Die Vorinstanz war berechtigt, das bestehende Einreiseverbot zur Abwendung künftiger Störungen der öffentlichen Sicherheit und Ordnung zu verlängern. Als gewichtig zu betrachten ist vorliegend einerseits das generalpräventiv motivierte Interesse, die öffentliche Ordnung durch eine konsequente Massnahmenpraxis zu schützen. Andererseits liegt eine spezialpräventive Zielsetzung der Massnahme darin, dass sie den Beschwerdeführer ermahnt, bei einer künftigen Wiedereinreise in die Schweiz nach Ablauf der Dauer des Einreiseverbots die für ihn geltenden Regeln einzuhalten (vgl. Urteil des BGer 2C_111/2015 vom 26. Juni 2015 E. 3.9 sowie Urteile des BVGer F-6100/2016 vom 27. Januar 2017 E. 7.2 m.H.; F-3076/2016 vom 22. Mai 2017 E. 7.2 m.H.). Es besteht somit ein gewichtiges öffentliches Interesse an der befristeten Fernhaltung des Beschwerdeführers.</w:t>
      </w:r>
    </w:p>
    <w:p>
      <w:r>
        <w:rPr>
          <w:b/>
        </w:rPr>
        <w:t>E. 6.3</w:t>
      </w:r>
    </w:p>
    <w:p>
      <w:r>
        <w:t>Dem öffentlichen Interesse sind sodann die privaten Interessen des Beschwerdeführers gegenüberzustellen. Den Akten zufolge leben seine Mutter und Geschwister in der Schweiz (vgl. Protokoll der Befragung vom 5. Dezember 2016 bei der Migrationsbehörde, S. 3 Ziff. 22; Beschwerde vom 5. Januar 2017). Diese familiären Bindungen können - wie bereits die Vorinstanz in ihrer Vernehmlassung festgehalten hat - in der Weise berücksichtigt werden, dass es dem Beschwerdeführer offensteht, um zeitweilige Suspension des Einreiseverbots zu ersuchen (vgl. Art. 67 Abs. 5 AuG). Gegenseitigen Treffen ausserhalb der Schweiz und namentlich in Italien, wo der Aufenthalt des Beschwerdeführers gemäss der auf Beschwerdeebene eingereichten Kopie der Aufenthaltsbewilligung geregelt ist (Tipo di permesso: Protezione sussidiaria), stehen keine Hindernisse entgegen. Darüber hinaus ist es den Familienangehörigen zuzumuten, den Kontakt mittels Telefon oder via moderne Kommunikationsmittel (SMS,E-Mail, WhatsApp, Skype, Facebook usw.) zu pflegen. Den geltend gemachten privaten Interessen des Beschwerdeführers kann somit im dargelegten Umfang Rechnung getragen werden. Die Vorinstanz hat seinen privaten Interessen zu Recht kein entscheidendes Gewicht beigemessen. Der Hinweis, wonach die Schweiz für ihn wie eine zweite Heimat sei, vermag zu keiner anderen Einschätzung zu führen.</w:t>
      </w:r>
    </w:p>
    <w:p>
      <w:r>
        <w:rPr>
          <w:b/>
        </w:rPr>
        <w:t>E. 6.4</w:t>
      </w:r>
    </w:p>
    <w:p>
      <w:r>
        <w:t>Eine wertende Abwägung der sich gegenüberstehenden öffentlichen und privaten Interessen führt insgesamt zum Schluss, dass das um ein Jahr verlängerte Einreiseverbot eine verhältnismässige und angemessene Massnahme zum Schutz der öffentlichen Sicherheit und Ordnung darstellt.</w:t>
      </w:r>
    </w:p>
    <w:p>
      <w:r>
        <w:rPr>
          <w:b/>
        </w:rPr>
        <w:t>E. 7</w:t>
      </w:r>
    </w:p>
    <w:p>
      <w:r>
        <w:t>Aus diesen Erwägungen ergibt sich, dass die vorinstanzliche Verfügung vom 10. März 2017 im Lichte von Art. 49 VwVG nicht zu beanstanden ist. Die Beschwerde ist demzufolge abzuweisen.</w:t>
      </w:r>
    </w:p>
    <w:p>
      <w:r>
        <w:rPr>
          <w:b/>
        </w:rPr>
        <w:t>E. 8.1</w:t>
      </w:r>
    </w:p>
    <w:p>
      <w:r>
        <w:t>Ausgangsgemäss sind die Verfahrenskosten dem Beschwerdeführer aufzuerlegen (Art. 63 Abs. 1 VwVG). Er ist jedoch mit seinem Rechtsbegehren insoweit durchgedrungen, als die Vorinstanz ihre ursprüngliche Verfügung vom 6. Dezember 2016 im Rahmen der Vernehmlassung teilweise in Wiedererwägung gezogen und das Einreiseverbot mit neuer Verfügung vom 10. März 2017 auf den 19. November 2019 befristet hat. Angesichts dieses teilweisen Obsiegens sind die Verfahrenskosten entsprechend zu reduzieren (Art. 1-3 des Reglements vom 21. Februar 2008 über die Kosten und Entschädigungen vor dem Bundesverwaltungsgericht [VGKE, SR 173.320.2]). Der einbezahlte Kostenvorschuss ist zur Bezahlung der reduzierten Verfahrenskosten zu verwenden und insoweit zurückzuerstatten, als er diese übersteigt. Soweit die Beschwerde gegenstandslos geworden ist (vgl. Sachverhalt Bst. I), sind keine Verfahrenskosten zu erheben (Art. 5 VGKE i.V.m. Art. 63 Abs. 2 VwVG).</w:t>
      </w:r>
    </w:p>
    <w:p>
      <w:r>
        <w:rPr>
          <w:b/>
        </w:rPr>
        <w:t>E. 8.2</w:t>
      </w:r>
    </w:p>
    <w:p>
      <w:r>
        <w:t>Dem rechtlich nicht vertretenen Beschwerdeführer sind keine Parteikosten erwachsen, weshalb ihm trotz seines teilweisen Obsiegens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