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F-916/2019 vom 26. Februar 2021</w:t>
      </w:r>
    </w:p>
    <w:p>
      <w:r>
        <w:t>Bundesverwaltungsgericht, 2021-02-26, FR</w:t>
      </w:r>
    </w:p>
    <w:p>
      <w:r>
        <w:rPr>
          <w:b/>
        </w:rPr>
        <w:t xml:space="preserve">Quelle: </w:t>
      </w:r>
      <w:r>
        <w:t>https://mcp.opencaselaw.ch/entscheid/bvger_F-916_2019</w:t>
      </w:r>
    </w:p>
    <w:p>
      <w:r>
        <w:t>FR: TAF F-916/2019 du 26 février 2021</w:t>
      </w:r>
    </w:p>
    <w:p>
      <w:r>
        <w:t>IT: TAF F-916/2019 del 26 febbraio 2021</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 Il s'ensuit que l'objet du présent litige est limité à la question de l'interdiction d'entrée en Suisse à l'égard de l'intéressé. Partant, même en cas de levée de cette mesure d'éloignement, les prescriptions ordinaires en matière de droit des étrangers (soit notamment l'obligation de visa, d'autorisation de séjour et d'autorisation de travail) demeurent opposables à l'étranger concerné et échappent ainsi à la compétence du Tribunal dans le cadre de l'examen de la présente affaire. Dans ces conditions, la conclusion apparente du recourant tendant à ce qu'il soit autorisé à séjourner en Suisse pour finaliser sa procédure de mariage dépend de l'octroi d'une autorisation de séjour cantonale et doit donc être déclarée irrecevable (toutefois, en ce qui concerne l'analyse de l'art. 12 CEDH, cf. consid. 7.4 infra).</w:t>
      </w:r>
    </w:p>
    <w:p>
      <w:r>
        <w:rPr>
          <w:b/>
        </w:rPr>
        <w:t>E. 4</w:t>
      </w:r>
    </w:p>
    <w:p>
      <w:r>
        <w:t>Tant dans son recours que dans ses écritures subséquentes, le recourant s'est plaint d'une violation de son droit d'être entendu. Il fait valoir qu'il avait signé une procuration en décembre 2014 et que le mandat de son avocat était connu des autorités cantonales puisque celui-ci avait déposé, le 26 janvier 2015, une requête tendant à l'octroi d'une autorisation de séjour de courte durée en vue du mariage, et que le 7 octobre 2015, il avait annoncé au SPOP la véritable identité de son client. Ce dernier avait par ailleurs fait parvenir un courrier au SEM le 22 mars 2017, raison pour laquelle cette autorité devait également connaître l'existence de ce mandat. De plus, le SEM et le SPOP n'avaient pas produit leur dossier alors qu'une demande leur avait été adressée en ce sens en date du 21 février 2019. En outre, lors de son arrestation et de la préparation de son renvoi, l'intéressé avait également indiqué qu'il était représenté par son conseil. Enfin, la décision du SEM avait été notifiée par l'intermédiaire du SPOP, si bien que cette autorité avait agi au nom du SEM, qui ne pouvait ainsi ignorer la représentation de l'intéressé. Le SEM avait dès lors violé le droit d'être entendu du recourant en omettant de contacter le mandataire de celui-ci avant de rendre la décision attaquée. Dans la mesure où ces griefs touchent des garanties procédurales de nature formelle dont l'éventuelle violation est susceptible d'entraîner l'annulation de la décision attaquée indépendamment des chances de succès du recours sur le fond, il convient de les examiner en premier lieu.</w:t>
      </w:r>
    </w:p>
    <w:p>
      <w:r>
        <w:rPr>
          <w:b/>
        </w:rPr>
        <w:t>E. 4.1</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 142 II 218 consid. 2.3 ; 142 III 48 consid. 4.1.1 ; 140 I 285 consid. 6.3.1 ; cf., également, arrêts du TF 6B_687/2014 du 22 décembre 2017 consid. 2.1 et 6B_111/2017 du 17 octobre 2017 consid. 1.1). L'art. 30 al. 1 PA prévoit en particulier que l'autorité entend les parties avant de prendre une décision.</w:t>
      </w:r>
    </w:p>
    <w:p>
      <w:r>
        <w:rPr>
          <w:b/>
        </w:rPr>
        <w:t>E. 4.2</w:t>
      </w:r>
    </w:p>
    <w:p>
      <w:r>
        <w:t>En vertu de l'art. 12 PA,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w:t>
      </w:r>
    </w:p>
    <w:p>
      <w:r>
        <w:rPr>
          <w:b/>
        </w:rPr>
        <w:t>E. 4.3</w:t>
      </w:r>
    </w:p>
    <w:p>
      <w:r>
        <w:t>En l'espèce, l'administration n'a violé ni le droit d'être entendu du recourant, ni le principe de la maxime inquisitoire. En effet, l'intéressé a été auditionné le 21 janvier 2019 et a signé un formulaire intitulé « Droit d'être entendu, Mesure d'éloignement » qui indiquait que, vu les faits constatés, les autorités suisses pouvaient examiner l'opportunité de prononcer à son encontre une mesure d'éloignement (cf. SEM pce 1). Le recourant n'a en outre pas souhaité s'exprimer à ce sujet et a apposé sa signature sur la case prévue pour y déposer ses déclarations. Par ailleurs, il n'appert pas non plus du formulaire précité que l'intéressé eût fait part de son souhait de faire appel à son conseil lors de l'audition précitée. Dès lors, on ne saurait déceler dans les faits sus-décrits une violation du droit d'être entendu, puisque le recourant a eu l'occasion de se déterminer avant que la décision en cause ne soit rendue et, s'il l'avait souhaité, de s'entourer des conseils éclairés de son avocat (cf., parmi d'autres, arrêt du TAF F-6140/2018 du 2 septembre 2019 consid. 4.3). S'agissant de la non transmission des dossiers des autorités inférieures, le SEM a transmis une copie des pièces du dossier au recourant par pli du 5 juillet 2019, si bien que celui-ci a eu l'occasion de les consulter dans le cadre de la présente procédure. Dès lors que la possibilité a été offerte au recourant tant de consulter les dossiers des autorités inférieures que de se déterminer et de faire valoir à plusieurs reprises ses arguments dans le cadre de la présente procédure, celui-ci ne saurait se prévaloir d'une violation de son droit d'être entendu.</w:t>
      </w:r>
    </w:p>
    <w:p>
      <w:r>
        <w:rPr>
          <w:b/>
        </w:rPr>
        <w:t>E. 4.4</w:t>
      </w:r>
    </w:p>
    <w:p>
      <w:r>
        <w:t>Le Tribunal considère dès lors, au vu des éléments sus-présentés, que l'état de fait était suffisamment complet lorsque le SEM a rendu sa décision du 22 janvier 2019 et que le grief tiré de la violation du droit d'être entendu doit être écarté.</w:t>
      </w:r>
    </w:p>
    <w:p>
      <w:r>
        <w:rPr>
          <w:b/>
        </w:rPr>
        <w:t>E. 5</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5.1</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en matière d'étrangers (cf. le Message précité,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 F-6177/2016 du 22 janvier 2018 consid. 4.6 ; F-2164/2017 du 17 novembre 2017 consid. 5.2).</w:t>
      </w:r>
    </w:p>
    <w:p>
      <w:r>
        <w:rPr>
          <w:b/>
        </w:rPr>
        <w:t>E. 5.2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 ; arrêt du TAF C-6383/2014 du 6 juin 2016 consid. 5.2).</w:t>
      </w:r>
    </w:p>
    <w:p>
      <w:r>
        <w:rPr>
          <w:b/>
        </w:rPr>
        <w:t>E. 5.3</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 129 II 312 consid. 2.4 ; arrêt du TF 2A.391/2003 du 30 août 2004 consid. 3.5).</w:t>
      </w:r>
    </w:p>
    <w:p>
      <w:r>
        <w:rPr>
          <w:b/>
        </w:rPr>
        <w:t>E. 6</w:t>
      </w:r>
    </w:p>
    <w:p>
      <w:r>
        <w:t>En l'occurrence, l'autorité inférieure a prononcé une décision d'interdiction d'entrée en Suisse d'une durée de trois ans à l'encontre du recourant. Le SEM a considéré qu'une telle mesure d'éloignement s'imposait en raison de la condamnation pénale du 24 janvier 2014 par le Ministère public de l'arrondissement de Lausanne à une peine privative de liberté ferme de 20 jours pour avoir facilité l'entrée, la sortie ou le séjour illégal d'un étranger.</w:t>
      </w:r>
    </w:p>
    <w:p>
      <w:r>
        <w:rPr>
          <w:b/>
        </w:rPr>
        <w:t>E. 6.1</w:t>
      </w:r>
    </w:p>
    <w:p>
      <w:r>
        <w:t>A titre préliminaire, le Tribunal rappelle qu'il existe deux régimes juridiques différents concernant le prononcé des interdictions d'entrée, selon que l'intéressé est ressortissant d'un Etat de l'Union européenne ou d'un Etat tiers. En l'occurrence, le recourant est un ressortissant de Guinée-Bissau, soit originaire d'un Etat tiers, de sorte que le prononcé querellé s'examine à l'aune de la LEI, les dispositions de l'ALCP n'étant pas applicables au cas d'espèce.</w:t>
      </w:r>
    </w:p>
    <w:p>
      <w:r>
        <w:rPr>
          <w:b/>
        </w:rPr>
        <w:t>E. 6.2</w:t>
      </w:r>
    </w:p>
    <w:p>
      <w:r>
        <w:t>En l'occurrence, le recourant a été sanctionné pour avoir facilité le séjour de plusieurs étrangers en situation illégale en Suisse en les hébergeant à son domicile jusqu'au 12 septembre 2013 (cf. SEM pce 29). Cette infraction est expressément sanctionnée par l'art. 116 al. 1 let. a LEI et constitue donc indéniablement une violation des prescriptions légales, au sens de l'art. 77a al. 1 OASA, portant atteinte à la sécurité et à l'ordre publics, justifiant donc aussi le prononcé d'une mesure d'éloignement. Bien que le recourant eût, dans un premier temps, formé opposition contre l'ordonnance pénale du 24 janvier 2014, celui-ci a procédé par la suite au retrait de cette opposition, si bien que l'ordonnance précitée est entrée en force, par jugement du Tribunal d'arrondissement de Lausanne prononcé le 20 mars 2014 (cf. SEM pce 25). Aussi, le Tribunal de céans ne décèle aucun motif permettant de remettre en cause cette ordonnance pénale (concernant l'appréciation des preuves en rapport avec des jugements pénaux entrés en force, cf. consid. 5.3 supra).</w:t>
      </w:r>
    </w:p>
    <w:p>
      <w:r>
        <w:rPr>
          <w:b/>
        </w:rPr>
        <w:t>E. 6.3</w:t>
      </w:r>
    </w:p>
    <w:p>
      <w:r>
        <w:t>A ce stade, il s'impose donc de retenir que l'intéressé, par son comportement délictueux, a attenté à la sécurité et à l'ordre publics en Suisse, de sorte qu'il remplit les conditions d'application de l'art. 67 al. 2 let. a LEI.</w:t>
      </w:r>
    </w:p>
    <w:p>
      <w:r>
        <w:rPr>
          <w:b/>
        </w:rPr>
        <w:t>E. 6.4</w:t>
      </w:r>
    </w:p>
    <w:p>
      <w:r>
        <w:t>Dans la mesure où l'autorité intimée a renoncé à prononcer une mesure d'éloignement d'une durée supérieure à cinq ans à l'endroit de l'intéressé, il ne s'avère pas nécessaire, en l'occurrence, d'examiner si cette dernière représente en sus une menace qualifiée pour l'ordre et la sécurité publics en Suisse au sens de l'art. 67 al. 3, deuxième phrase, LEI.</w:t>
      </w:r>
    </w:p>
    <w:p>
      <w:r>
        <w:rPr>
          <w:b/>
        </w:rPr>
        <w:t>E. 7</w:t>
      </w:r>
    </w:p>
    <w:p>
      <w:r>
        <w:t>Il convient encore d'examiner si la mesure d'éloignement prise par l'autorité intimée satisfait aux principes de la proportionnalité et de l'égalité de traitement.</w:t>
      </w:r>
    </w:p>
    <w:p>
      <w:r>
        <w:rPr>
          <w:b/>
        </w:rPr>
        <w:t>E. 7.1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w:t>
      </w:r>
    </w:p>
    <w:p>
      <w:r>
        <w:rPr>
          <w:b/>
        </w:rPr>
        <w:t>E. 7.2</w:t>
      </w:r>
    </w:p>
    <w:p>
      <w:r>
        <w:t>En l'espèce, s'agissant de l'intérêt public à l'éloignement du recourant de Suisse, les motifs retenus à l'appui de la mesure d'éloignement prise à son endroit ne sauraient être contestés (cf. consid. 6.2 supra). L'intéressé a été condamnée, le 24 janvier 2014, par le Ministère public de l'arrondissement de Lausanne à une peine privative de liberté ferme de 20 jours pour avoir facilité le séjour illégal de plusieurs étrangers en Suisse. Or, même si ce comportement ne met pas en danger des biens juridiques tels que la vie, la santé ou la liberté ou la propriété, il doit être qualifié de grave (cf. consid. 5.1 supra). D'une part, l'intéressé n'a pas déployé une activité-« bagatelle » visant à permettre à sa propre personne d'entrer ou de séjourner (illégalement) en Suisse, mais il s'est, du constat des autorités pénales, employé à faciliter à des tiers de séjourner illégalement en Suisse. D'autre part, il sera rappelé que, pour interdire l'entrée en Suisse à un ressortissant d'un pays tiers, il suffit que ce dernier ait attenté à la sécurité et à l'ordre publics en Suisse ou à l'étranger ou qu'il les ait mis en danger (cf. ATF 139 II 121 consid. 5.4 et 6.1). Au demeurant, compte tenu du nombre élevé d'infractions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 Au vu de l'infraction retenue contre le recourant, il existe donc un intérêt public important à son éloignement de Suisse.</w:t>
      </w:r>
    </w:p>
    <w:p>
      <w:r>
        <w:rPr>
          <w:b/>
        </w:rPr>
        <w:t>E. 7.3</w:t>
      </w:r>
    </w:p>
    <w:p>
      <w:r>
        <w:t>Le Tribunal ne saurait en outre accorder une importance prépondérante aux intérêts privés avancés par l'intéressé, soit en particulier la présence en Suisse de son amie, avec laquelle il projette de se marier. En effet, malgré les lettres de soutien et les documents produits - également concernant C._______ - en faveur du recourant (cf., notamment, TAF act. 10 et 14 ainsi que recours annexe 4) et bien que le Tribunal ne remette pas en doute l'existence de la volonté de ceux-ci de vivre ensemble en Suisse, force est de constater que l'intéressé est majeur et ne se trouve pas dans un rapport de dépendance spéciale, si bien que cette relation ne constitue pas une attache familiale étroite avec la Suisse, susceptible d'être protégée par l'art. 8 CEDH (cf., notamment, ATF 140 I 77 consid. 5.2 ; 137 I 113 consid. 6.1 ; 129 II 11 consid. 2). Il est à relever également que l'intéressé, qui n'a fait valoir aucune autre attache avec la Suisse, peut garder le contact avec son amie par des moyens autres que sa présence physique en Suisse, tels des échanges réguliers par Internet et téléphone, voire des visites par cette dernière auprès de l'intéressé hors de Suisse, par exemple au Portugal, où il réside.</w:t>
      </w:r>
    </w:p>
    <w:p>
      <w:r>
        <w:rPr>
          <w:b/>
        </w:rPr>
        <w:t>E. 7.4</w:t>
      </w:r>
    </w:p>
    <w:p>
      <w:r>
        <w:t>L'intéressé s'est encore prévalu de son droit au mariage, dès lors qu'il envisagerait de se marier avec sa compagne au bénéfice d'une autorisation d'établissement.</w:t>
      </w:r>
    </w:p>
    <w:p>
      <w:r>
        <w:rPr>
          <w:b/>
        </w:rPr>
        <w:t>E. 7.4.1</w:t>
      </w:r>
    </w:p>
    <w:p>
      <w:r>
        <w:t>Les art. 14 Cst. et 12 CEDH garantissent en principe le droit au mariage à toute personne physique majeure, quelle que soit sa nationalité et sa religion (ATF 138 I 41 consid. 3 ; 137 I 351 consid. 3.5). Dans l'affaire O'Donoghue et al. c. Royaume-Uni, la Cour européenne des droits de l'Homme (ci-après : la Cour 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de la Cour EDH O'Donoghue et al. c. Royaume-Uni, du 14 décembre 2010, req. 34848/07, Rec. 2010, par. 85 ss). A la lumière de cet arrêt, le Tribunal fédéral a retenu que le système mis en place par le législateur suisse pouvait s'avérer contraire aux art. 12 CEDH et 14 Cst., lorsqu'un étranger, bien qu'en situation irrégulière en Suisse, désirait néanmoins réellement et sincèrement se marier (cf. ATF 137 I 351 consid. 3.5 ; arrêts du TF 2C_117/2012 du 11 juin 2012 consid. 4.2 et du TAF F-6128/2018 du 26 juin 2020 consid. 5.1.2).</w:t>
      </w:r>
    </w:p>
    <w:p>
      <w:r>
        <w:rPr>
          <w:b/>
        </w:rPr>
        <w:t>E. 7.5</w:t>
      </w:r>
    </w:p>
    <w:p>
      <w:r>
        <w:t>Dans le cas d'espèce, bien qu'il ressorte des pièces au dossier que les projets de mariage invoqués par l'intéressé et son amie établie en Suisse apparaissent vraisemblables, force est de constater que la procédure de mariage ouverte en 2015 (cf. TAF act. 14 annexe 1), à savoir il y a plus de cinq ans, n'a - en l'état du dossier - toujours pas abouti à ce jour et que ceux-ci n'habitent d'ailleurs plus sous le même toit. Il sera précisé que le Tribunal avait expressément demandé au recourant de lui faire parvenir d'éventuelles informations et pièces récentes relatives à la procédure de mariage en cours (cf. décision incidente du 29 janvier 2021, dossier TAF act. 20), demande à laquelle celui-ci, représenté par un avocat, n'a pas donné suite. De plus, rien n'empêcherait l'intéressé et son amie, celui-ci ne l'invoquant pas, de se marier au Portugal, le cas échéant, dans la mesure où des obstacles existeraient en Suisse, si bien que le droit au mariage de l'intéressé n'est pas violé par l'interdiction d'entrée querellée (cf. arrêt du TF 2C_950/2014 du 9 juillet 2015 consid. 6.4).</w:t>
      </w:r>
    </w:p>
    <w:p>
      <w:r>
        <w:rPr>
          <w:b/>
        </w:rPr>
        <w:t>E. 7.6</w:t>
      </w:r>
    </w:p>
    <w:p>
      <w:r>
        <w:t>En conclusion, c'est en vain que le recourant se plaint de la violation des art. 12 CEDH et 14 Cst. Les intérêts privés du recourant, voire ceux de son amie - non partie à la procédure - avec laquelle il projette de se marier, doivent donc ici céder le pas à l'intérêt public au respect du droit suisse des étrangers.</w:t>
      </w:r>
    </w:p>
    <w:p>
      <w:r>
        <w:rPr>
          <w:b/>
        </w:rPr>
        <w:t>E. 7.7</w:t>
      </w:r>
    </w:p>
    <w:p>
      <w:r>
        <w:t>Partant, la mesure d'éloignement prise par l'autorité inférieure le 22 janvier 2019 s'avère conforme au principe de la proportionnalité. En outre, la durée de la mesure respecte ce principe et correspond à celles prononcées dans des cas analogues, étant précisé que le SEM n'a pas outrepassé la marge d'appréciation qui doit lui être consentie s'agissant de la durée de la mesure d'éloignement envisagée.</w:t>
      </w:r>
    </w:p>
    <w:p>
      <w:r>
        <w:rPr>
          <w:b/>
        </w:rPr>
        <w:t>E. 7.8</w:t>
      </w:r>
    </w:p>
    <w:p>
      <w:r>
        <w:t>Enfin, le Tribunal ne perçoit pas de raisons humanitaires ou d'autres motifs importants justifiant l'abstention ou la suspension de la mesure d'éloignement au sens de l'art. 67 al. 5 LEtr et tant qu'il n'a pas été démontré que la procédure de mariage aurait atteint un stade plus avancé.</w:t>
      </w:r>
    </w:p>
    <w:p>
      <w:r>
        <w:rPr>
          <w:b/>
        </w:rPr>
        <w:t>E. 8</w:t>
      </w:r>
    </w:p>
    <w:p>
      <w:r>
        <w:t>Le SEM a par ailleurs ordonné l'inscription de l'interdiction d'entrée dans le SIS II. En raison de ce signalement, il est interdit au recourant de pénétrer dans l'Espace Schengen.</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8.2</w:t>
      </w:r>
    </w:p>
    <w:p>
      <w:r>
        <w:t>Ce signalement au SIS II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9</w:t>
      </w:r>
    </w:p>
    <w:p>
      <w:r>
        <w:t>Au vu de ce qui précède, le Tribunal considère que l'autorité inférieure, en rendant sa décision du 22 janvier 2019, n'a ni violé le droit fédéral, ni constaté des faits pertinents de manière inexacte ou incomplète ; en outre, cette décision n'est pas inopportune (art. 49 PA). En conséquence, le recours est rejeté.</w:t>
      </w:r>
    </w:p>
    <w:p>
      <w:r>
        <w:rPr>
          <w:b/>
        </w:rPr>
        <w:t>E. 10</w:t>
      </w:r>
    </w:p>
    <w:p>
      <w:r>
        <w:t>Vu l'issue du litige, il y a lieu de mettre les frais de la procédure à la charge du recourant, conformément à l'art. 63 al. 1 PA en relation avec lesart. 1 à 3 du règlement du 21 février 2008 concernant les frais, dépens et indemnités fixés par le Tribunal administratif fédéral (FITAF, RS 173.320.2). Vu l'issue de la cause, il n'y a pas lieu d'allouer des dépens (cf. art. 64 al. 1 PA a contrario et art. 7 al. 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