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F-9122/2025 vom 3. Dezember 2025</w:t>
      </w:r>
    </w:p>
    <w:p>
      <w:r>
        <w:t>Bundesverwaltungsgericht, 2025-12-03, DE</w:t>
      </w:r>
    </w:p>
    <w:p>
      <w:r>
        <w:rPr>
          <w:b/>
        </w:rPr>
        <w:t xml:space="preserve">Quelle: </w:t>
      </w:r>
      <w:r>
        <w:t>https://mcp.opencaselaw.ch/entscheid/bvger_F-9122_2025</w:t>
      </w:r>
    </w:p>
    <w:p>
      <w:r>
        <w:t>FR: TAF F-9122/2025 du 3 décembre 2025</w:t>
      </w:r>
    </w:p>
    <w:p>
      <w:r>
        <w:t>IT: TAF F-9122/2025 del 3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korrekt erwogen, dass gemäss den Bestimmungen der Dublin-III-VO grundsätzlich Belgien für die Behandlung des Asylgesuchs der Beschwerdeführerin zuständig ist. So ist bei einem Antragsteller, der ein gültiges Visum besitzt, grundsätzlich der Mitgliedstaat, der das Visum erteilt hat, für die Prüfung des Antrags auf internationalen Schutz zuständig (Art. 12 Abs. 2 Dublin-III-VO; das Visum war im Zeitpunkt der Asylgesuchstellung gültig). Weiter hat die Vorinstanz zutreffend erwogen, dass das belgische Asylsystem rechtsprechungsgemäss keine systemischen Mängeln aufweist, aufgrund derer die Zuständigkeit gemäss Art. 3 Abs. 2 zweiter Unterabsatz Dublin-III-VO auf die Schweiz überginge. Darüber hinaus hat die Vorinstanz zutreffend festgehalten, dass vorliegend keine völkerrechtlichen Vollzugshindernisse ersichtlich sind, welche die Schweiz zu einem Selbsteintritt nach Art. 17 Abs. 1 Dublin-III-VO verpflichten würden, und hat in rechtsfehlerfreier Ausübung des ihr nach Art. 17 Abs. 1 Dublin-III-VO und Art. 29a Abs. 3 der Asylverordnung 1 vom 11. August 1999 (AsylV 1, SR 142.311) zukommenden Ermessens von einem freiwilligen Selbsteintritt der Schweiz abgesehen. Die Vorinstanz ist somit zu Recht in Anwendung von Art. 31a Abs. 1 Bst. b AsylG auf das Asylgesuch der Beschwerdeführerin nicht eingetreten und hat gestützt auf Art. 44 AsylG ihre Wegweisung nach Belgien angeordnet. Zur näheren Begründung wird auf die Erwägungen der Vorinstanz verwiesen.</w:t>
      </w:r>
    </w:p>
    <w:p>
      <w:r>
        <w:rPr>
          <w:b/>
        </w:rPr>
        <w:t>E. 2.2</w:t>
      </w:r>
    </w:p>
    <w:p>
      <w:r>
        <w:t>Was die Beschwerdeführerin auf Rechtsmittelebene vorbringt, vermag an der Richtigkeit der angefochtenen Verfügung nichts zu ändern. In der Beschwerdebegründung führt sie aus, dass sie von einem belgischen Sportverband bei einer früheren sportlichen Veranstaltung, zu der sie als Athletin nach Belgien eingeladen worden sei, weder einen Preis noch eine Prämie erhalten habe. Dieses Vorbringen tut für das vorliegende Dublin-Verfahren nichts zur Sache. Weiter bringt die Beschwerdeführerin vor, sie befürchte, dass sie von Belgien nach Eritrea zurückgeschickt werden könnte. Soweit damit mit der Gefahr einer Kettenabschiebung argumentiert wird, ist darauf hinzuweisen, dass ohne die Feststellung, dass das Asylverfahren im ersuchten Mitgliedstaat systemische Schwachstellen aufweist, nicht geprüft werden darf, ob im konkreten Fall die Gefahr einer Verletzung des Grundsatzes des Non-Refoulement besteht (Urteil des BVGer F-4412/2024 vom 26. Juli 2024 E. 4.5 mit Verweis auf das Urteil des Europäischen Gerichtshofs [EuGH] vom 30. November 2023 in den verbundenen Rechtssachen C-228/21, C-254/21, C-297/21, C-315/21 und C-328/21, Rn. 129-142 und Dispositivziffer 2).</w:t>
      </w:r>
    </w:p>
    <w:p>
      <w:r>
        <w:rPr>
          <w:b/>
        </w:rPr>
        <w:t>E. 3</w:t>
      </w:r>
    </w:p>
    <w:p>
      <w:r>
        <w:t>Nach dem Gesagten ist die angefochtene Verfügung vom 21. November 2025 nicht zu beanstanden und die Beschwerde ist abzuweisen.</w:t>
      </w:r>
    </w:p>
    <w:p>
      <w:r>
        <w:rPr>
          <w:b/>
        </w:rPr>
        <w:t>E. 4</w:t>
      </w:r>
    </w:p>
    <w:p>
      <w:r>
        <w:t>Mit vorliegendem Urteil fällt der am 27. November 2025 angeordnete Vollzugsstopp dahin.</w:t>
      </w:r>
    </w:p>
    <w:p>
      <w:r>
        <w:rPr>
          <w:b/>
        </w:rPr>
        <w:t>E. 5</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r>
        <w:rPr>
          <w:b/>
        </w:rPr>
        <w:t>E. 6</w:t>
      </w:r>
    </w:p>
    <w:p>
      <w:r>
        <w:t>Dieses Urteil ist endgültig (vgl.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