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F-9104/2025 vom 1. Dezember 2025</w:t>
      </w:r>
    </w:p>
    <w:p>
      <w:r>
        <w:t>Bundesverwaltungsgericht, 2025-12-01, DE</w:t>
      </w:r>
    </w:p>
    <w:p>
      <w:r>
        <w:rPr>
          <w:b/>
        </w:rPr>
        <w:t xml:space="preserve">Quelle: </w:t>
      </w:r>
      <w:r>
        <w:t>https://mcp.opencaselaw.ch/entscheid/bvger_F-9104_2025</w:t>
      </w:r>
    </w:p>
    <w:p>
      <w:r>
        <w:t>FR: TAF F-9104/2025 du 1 décembre 2025</w:t>
      </w:r>
    </w:p>
    <w:p>
      <w:r>
        <w:t>IT: TAF F-9104/2025 del 1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18 Abs. 1 Bst. d Dublin-III-VO grundsätzlich Deutschland für die Behandlung des Asylgesuchs des Beschwerdeführers zuständig ist, dass das deutsche Asylsystem rechtsprechungsgemäss keine systemischen Mängel aufweist (vgl. statt vieler: Urteil des BVGer F-8329/2025 vom 3. November 2025 E. 4.1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ist auf die vorinstanzlichen Erwägungen zu verweisen.</w:t>
      </w:r>
    </w:p>
    <w:p>
      <w:r>
        <w:rPr>
          <w:b/>
        </w:rPr>
        <w:t>E. 2.2</w:t>
      </w:r>
    </w:p>
    <w:p>
      <w:r>
        <w:t>Die Ausführungen auf Beschwerdeebene vermögen nichts an der Richtigkeit der angefochtenen Verfügung zu ändern. Die erstmals auf Beschwerdeebene behaupteten gesundheitlichen Probleme (Verletzung bzw. Erkrankung am Finger, schwerwiegende psychische Probleme) blieben gänzlich unbelegt. Der Beschwerdeführer gab anlässlich des Dublin-Gesprächs an, es gehe ihm physisch und psychisch gut. Im Übrigen verfügt Deutschland zweifellos über eine ausreichende medizinische Infrastruktur für deren Behandlung (vgl. statt vieler: Urteil des BVGer F-7987/2025 vom 31. Oktober 2025 E. 2.2 m.H.). Hinsichtlich der geltend gemachten Bedrohungslage in Deutschland ist mit der Vorinstanz festzustellen, dass sich der Beschwerdeführer diesbezüglich an die deutschen Polizei- und Justizbehörden zu wenden hat. Deutschland ist ein Rechtsstaat und die Behörden sind gewillt und fähig, staatlichen Schutz zu gewähren. Entsprechend ist der Antrag auf Einreichung weiterer Beweismittel zum Nachweis der dortigen Bedrohungslage abzuweisen.</w:t>
      </w:r>
    </w:p>
    <w:p>
      <w:r>
        <w:rPr>
          <w:b/>
        </w:rPr>
        <w:t>E. 3</w:t>
      </w:r>
    </w:p>
    <w:p>
      <w:r>
        <w:t>Im Ergebnis erweist sich die angefochtene Verfügung als rechtmässig (Art. 106 Abs. 1 AsylG). Die Beschwerde ist abzuweisen. Mit dem vorliegenden Urteil fällt der angeordnete Vollzugsstopp dahin.</w:t>
      </w:r>
    </w:p>
    <w:p>
      <w:r>
        <w:rPr>
          <w:b/>
        </w:rPr>
        <w:t>E. 4</w:t>
      </w:r>
    </w:p>
    <w:p>
      <w:r>
        <w:t>Bei diesem Verfahrensausgang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