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F-906/2021 vom 3. November 2022</w:t>
      </w:r>
    </w:p>
    <w:p>
      <w:r>
        <w:t>Bundesverwaltungsgericht, 2022-11-03, DE</w:t>
      </w:r>
    </w:p>
    <w:p>
      <w:r>
        <w:rPr>
          <w:b/>
        </w:rPr>
        <w:t xml:space="preserve">Quelle: </w:t>
      </w:r>
      <w:r>
        <w:t>https://mcp.opencaselaw.ch/entscheid/bvger_F-906_2021</w:t>
      </w:r>
    </w:p>
    <w:p>
      <w:r>
        <w:t>FR: TAF F-906/2021 du 3 novembre 2022</w:t>
      </w:r>
    </w:p>
    <w:p>
      <w:r>
        <w:t>IT: TAF F-906/2021 del 3 novembre 2022</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Beschwerde ist einzutreten (Art. 50 Abs. 1 und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Gemäss Art. 67 Abs. 2 Bst. a i.V.m. Art. 67 Abs. 3 AIG kann die Vorinstanz für die Dauer von höchstens fünf Jahren ein Einreiseverbot gegen ausländische Personen verfügen, wenn sie gegen die öffentliche Sicherheit und Ordnung in der Schweiz oder im Ausland verstossen haben oder diese gefährden. Ein Verstoss gegen die öffentliche Sicherheit und Ordnung liegt vor, wenn gesetzliche Vorschriften oder behördliche Verfügungen missachtet werden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F-1156/2018 vom 13. Dezember 2019 E. 4.2 m.H.).</w:t>
      </w:r>
    </w:p>
    <w:p>
      <w:r>
        <w:rPr>
          <w:b/>
        </w:rPr>
        <w:t>E. 3.2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4.1</w:t>
      </w:r>
    </w:p>
    <w:p>
      <w:r>
        <w:t>Die Vorinstanz begründete das Einreiseverbot im Wesentlichen damit, die Beschwerdeführerin habe sich weit über den bewilligungsfreien Zeitraum hinaus im Schengen-Raum aufgehalten. Zudem sei sie in der Schweiz erwerbstätig gewesen, ohne im Besitz der hierfür erforderlichen Bewilligung zu sein. Dies stelle einen Verstoss gegen die öffentliche Sicherheit und Ordnung in der Schweiz im Sinne von Art. 67 Abs. 2 Bst. a AIG dar.</w:t>
      </w:r>
    </w:p>
    <w:p>
      <w:r>
        <w:rPr>
          <w:b/>
        </w:rPr>
        <w:t>E. 4.2</w:t>
      </w:r>
    </w:p>
    <w:p>
      <w:r>
        <w:t>Die Beschwerdeführerin bestreitet nicht, sich seit ihrer Einreise in die Schweiz am 16. Februar 2020 bis zu ihrer Anhaltung am 28. Januar 2021 ununterbrochen hier aufgehalten zu haben und dabei nach Ablauf der bewilligungsfreien Zeit von 90 Tagen (mithin ab dem 17. Mai 2020) widerrechtlich in der Schweiz verblieben zu sein. Allerdings sei es unzutreffend, dass sie in der Schweiz erwerbstätig gewesen sei; solches habe sie bereits anlässlich der polizeilichen Einvernahme vom 29. Januar 2021 abgestritten und der entsprechende Verdacht habe auch nicht erhärtet werden können. Vor diesem Hintergrund sei das zweijährige Einreiseverbot unverhältnismässig und willkürlich beziehungsweise verletze ihre persönliche Freiheit (Art. 10 Abs. 2 BV).</w:t>
      </w:r>
    </w:p>
    <w:p>
      <w:r>
        <w:rPr>
          <w:b/>
        </w:rPr>
        <w:t>E. 4.3</w:t>
      </w:r>
    </w:p>
    <w:p>
      <w:r>
        <w:t>Die Beschwerdeführerin darf als brasilianische Staatsangehörige visumsfrei in den Schengen-Raum einreisen und sich auf diesem Gebiet während 90 Tagen innerhalb eines Zeitraums von 180 Tagen grundsätzlich bewilligungsfrei bewegen (Art. 8 Abs. 3 der Verordnung vom 15. August 2018 über die Einreise und die Visumerteilung [VEV, SR 142.204] i.V.m. Art. 4 Abs. 1 und Anhang II der Verordnung [EU] Nr. 2018/1806 des europäischen Parlamentes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Am 8. August 2019 reiste die Beschwerdeführerin in Portugal in den Schengen-Raum ein, wo sie sich eigenen Angaben zufolge bis zu ihrer Weiterreise in die Schweiz im Februar 2020 aufgehalten habe. Gemäss Feststellungen der Kantonspolizei B._______ verfügte sie weder über ein gültiges Schengen-Visum noch über einen gültigen Aufenthaltstitel für den Schengen-Raum (kant.-act. 36). Hinsichtlich ihres Aufenthalts in Portugal beruft sich die Beschwerdeführerin auf einen Staatsvertrag zwischen Portugal und Brasilien (sog. Dekret Nr. 40/2003 [Beschwerdebeilage 3 zu BVGer-act. 1]), wonach ihr Verbleib dort über den bewilligungsfreien Zeitraum hinaus zulässig gewesen sein soll. Wie es sich damit konkret verhält, kann vorliegend offenbleiben. Unbestritten ist, dass die Beschwerdeführerin am 16. Februar 2020 auf dem Landweg in die Schweiz gelangte und sich somit spätestens nach Ablauf von 90 Tagen, d.h. ab dem 17. Mai 2020 illegal im Schengen-Raum aufhielt. Am 28. Januar 2021 wurde sie in der Schweiz von der Polizei kontrolliert. Damit hat sie die bewilligungsfreie Aufenthaltsdauer im Schengen-Raum um (mindestens) 257 Tage überschritten (sog. Overstay). Dies sah auch die Staatsanwaltschaft C._______ in ihrem - soweit ersichtlich in Rechtskraft erwachsenen - Strafbefehl vom 26. März 2021 als erstellt an (vgl. Sachverhalt Bst. E).</w:t>
      </w:r>
    </w:p>
    <w:p>
      <w:r>
        <w:rPr>
          <w:b/>
        </w:rPr>
        <w:t>E. 4.4</w:t>
      </w:r>
    </w:p>
    <w:p>
      <w:r>
        <w:t>Zum Vorwurf der illegalen Erwerbstätigkeit ist aktenkundig, dass die Polizei zunächst davon ausging, die Beschwerdeführerin arbeite in der Schweiz als Prostituierte, wobei sich dieser Verdacht nicht erhärten liess. Entsprechend wurde sie per Strafbefehl einzig wegen rechtswidrigen Aufenthalts verurteilt (vgl. kant-act. 37 ff., 80). Die Vorinstanz geht allerdings davon aus, dass die von der Beschwerdeführerin im Haushalt ihres Lebenspartners verrichteten Arbeiten - wie im Rahmen der polizeilichen Einvernahme zu Protokoll gegeben (kant.-act. 12) - während des rechtswidrigen Aufenthalts ausländerrechtlich als Erwerbstätigkeit zu qualifizieren seien. In diesem Zusammenhang ist festzuhalten, dass der ausländerrechtliche Begriff der Erwerbstätigkeit weit gefasst ist und jede üblicherweise gegen Entgelt ausgeübte unselbständige oder selbständige Tätigkeit umfasst (Art. 11 Abs. 2 AIG; s. Urteil des BVGer F-2152/2021 vom 15. Dezember 2021 E. 5.1 m.w.H.). Ob die vorliegend in Frage stehende Haushaltstätigkeit in der damals gemeinsam genutzten Wohnung und angesichts der engen Beziehung zwischen der Beschwerdeführerin und ihrem Partner bzw. heutigen Ehemann als bewilligungspflichtige Erwerbstätigkeit im Sinne von Art. 11 Abs. 1 AIG zu gelten hat, ist für den Ausgang des vorliegenden Verfahrens jedoch nicht entscheidend (s. nachfolgend E. 5.4; vgl. Urteil des BVGer F-6906/2018 vom 10. Dezember 2019 E. 6. 3 m.w.H.). Die Beschwerdeführerin hat bereits mit ihrem widerrechtlichen Verbleib in der Schweiz grundlegende ausländerrechtliche Bestimmungen verletzt und gegen die öffentliche Sicherheit und Ordnung verstossen (vgl. Art. 77a Abs. 1 Bst. a VZAE). Der Fernhaltegrund von Art. 67 Abs. 2 Bst. a AIG ist damit gesetzt.</w:t>
      </w:r>
    </w:p>
    <w:p>
      <w:r>
        <w:rPr>
          <w:b/>
        </w:rPr>
        <w:t>E. 5.1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Häfelin/Uhlmann, Allgemeines Verwaltungsrecht, 8. Aufl. 2020, Rz. 555 ff.).</w:t>
      </w:r>
    </w:p>
    <w:p>
      <w:r>
        <w:rPr>
          <w:b/>
        </w:rPr>
        <w:t>E. 5.2</w:t>
      </w:r>
    </w:p>
    <w:p>
      <w:r>
        <w:t>Mit ihrem illegalen Aufenthalt in der Schweiz hat die Beschwerdeführerin - wie erwähnt - gegen zentrale Bestimmungen der ausländerrechtlichen Ordnung verstossen. Ein Overstay von 257 Tagen wiegt zudem objektiv nicht mehr leicht. Ihrem Vorbringen, die COVID-19-Pandemie hätte einen längeren Aufenthalt in der Schweiz nötig gemacht, kann nicht gefolgt werden. Die Beschwerdeführerin belegt weder, dass sie sich je um eine rechtzeitige Ausreise noch um eine Verlängerung der visumsbefreiten Aufenthaltsdauer bemüht hätte. Es muss vielmehr davon ausgegangen werden, dass sie - wäre sie nicht zufälligerweise in eine Verkehrskontrolle geraten - noch auf unbestimmte Zeit bei ihrem Lebenspartner bzw. heutigen Ehemann in der Schweiz verblieben wäre. Angesichts dessen ist von einem erheblichen öffentlichen Interesse an einer befristeten Fernhaltung auszugehen. Darüber hinaus ist auch ein gewichtiges generalpräventiv motiviertes Interesse anzunehmen daran, die ausländerrechtliche Ordnung durch eine konsequente Massnahmenpraxis vor solchen Zuwiderhandlungen zu schützen (vgl. Urteile des BGer 2C_516/2014 vom 24. März 2015 E. 4.3.2 oder 2C_282/2012 vom 31. Juli 2012 E. 2.5 je m.H.).</w:t>
      </w:r>
    </w:p>
    <w:p>
      <w:r>
        <w:rPr>
          <w:b/>
        </w:rPr>
        <w:t>E. 5.3</w:t>
      </w:r>
    </w:p>
    <w:p>
      <w:r>
        <w:t>Dem öffentlichen Fernhalteinteresse sind die privaten Interessen der Beschwerdeführerin gegenüber zu stellen. Solche sind in der von ihr geltend gemachten Beziehung zu einem in der Schweiz aufenthaltsberechtigten portugiesischen Staatsbürger zu erkennen, mit dem sie sich in der Zwischenzeit verheiratet hat. Damit sind allerdings die dargelegten öffentlichen Interessen nicht zurückzudrängen. Zum einen scheitert ein dauerhaftes Zusammenleben der Beschwerdeführerin und ihres Ehemanns hierzulande vor allem am fehlenden Aufenthaltsrecht der Beschwerdeführerin in der Schweiz. Zum anderen hat die Beschwerdeführerin die nach Erlass der angefochtenen Verfügung eingegangene Ehe korrekterweise zum Anlass genommen, ein Aufenthaltsbewilligungsverfahren einzuleiten. Völlig zu Recht hat die Vorinstanz in ihrer Duplik darauf hingewiesen, dass in Bezug auf das streitige Einreiseverbot ein Wiedererwägungsgrund geschaffen würde, sollte die zuständige kantonale Migrationsbehörde gestützt auf diese Heirat die Erteilung einer Aufenthaltsbewilligung befürworten. Das ist allerdings bis dato nicht geschehen, was gemäss den vorliegenden Akten primär auf die fehlende Mitwirkung der Beschwerdeführerin zurückzuführen ist (kant.-act. 102 f.).</w:t>
      </w:r>
    </w:p>
    <w:p>
      <w:r>
        <w:rPr>
          <w:b/>
        </w:rPr>
        <w:t>E. 5.4</w:t>
      </w:r>
    </w:p>
    <w:p>
      <w:r>
        <w:t>Demzufolge führt eine wertende Gewichtung der gegenläufigen öffentlichen und privaten Interessen das Bundesverwaltungsgericht zum Ergebnis, dass das angefochtene Einreiseverbot im Grundsatz eine verhältnismässige und angemessene Massnahme zum Schutz der öffentlichen Ordnung und Sicherheit darstellt. Die Dauer des vorinstanzlichen Einreiseverbots liegt im Rahmen zahlreicher - durch das Bundesverwaltungsgericht geschützter - Vergleichsfälle (widerrechtlichen Aufenthalts in der Schweiz) und ist ebenfalls nicht zu beanstanden (vgl. etwa Urteile des BVGer F-3733/2021 vom 30. September 2022 E. 7.4; F-2155/2021 vom 24. Mai 2022 E. 7.2)</w:t>
      </w:r>
    </w:p>
    <w:p>
      <w:r>
        <w:rPr>
          <w:b/>
        </w:rPr>
        <w:t>E. 6</w:t>
      </w:r>
    </w:p>
    <w:p>
      <w:r>
        <w:t>Im Weiteren verhältnismässig, zur Wahrung der Interessen der Gesamtheit aller Schengen-Staaten notwendig und nicht zu beanstanden ist schliesslich die Ausschreibung des Einreiseverbots im Schengener Informationssystem (vgl. Art. 21 i.V.m. Art. 24 Ziff. 3 SIS-II-Verordnung), geht es doch in Konstellationen wie der vorliegenden um zentrale Bestimmungen der migrationsrechtlichen Ordnung (Art. 115 Abs. 1 Bst. b i.V.m. Art. 10 Abs. 1 und 2 AIG).</w:t>
      </w:r>
    </w:p>
    <w:p>
      <w:r>
        <w:rPr>
          <w:b/>
        </w:rPr>
        <w:t>E. 7</w:t>
      </w:r>
    </w:p>
    <w:p>
      <w:r>
        <w:t>Aus den vorstehenden Erwägungen ergibt sich, dass die angefochtene Verfügung im Lichte von Art. 49 VwVG nicht zu beanstanden ist. Die Beschwerde ist demzufolge abzuweisen.</w:t>
      </w:r>
    </w:p>
    <w:p>
      <w:r>
        <w:rPr>
          <w:b/>
        </w:rPr>
        <w:t>E. 8</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