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F-902/2021 vom 2. Juli 2021</w:t>
      </w:r>
    </w:p>
    <w:p>
      <w:r>
        <w:t>Bundesverwaltungsgericht, 2021-07-02, DE</w:t>
      </w:r>
    </w:p>
    <w:p>
      <w:r>
        <w:rPr>
          <w:b/>
        </w:rPr>
        <w:t xml:space="preserve">Quelle: </w:t>
      </w:r>
      <w:r>
        <w:t>https://mcp.opencaselaw.ch/entscheid/bvger_F-902_2021</w:t>
      </w:r>
    </w:p>
    <w:p>
      <w:r>
        <w:t>FR: TAF F-902/2021 du 2 juillet 2021</w:t>
      </w:r>
    </w:p>
    <w:p>
      <w:r>
        <w:t>IT: TAF F-902/2021 del 2 luglio 2021</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Einspracheverfahren teilgenommen und ist als Gastgeberin durch den angefochtenen Entscheid besonders berührt. Obwohl der ursprünglich angestrebte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liegt das Gesuch eines kosovarischen Staatsangehörigen um Erteilung eines Visums für einen 90-tägigen Besuchsaufenthalt in der Schweiz zugrunde. Da er sich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stellt dabei einheitliche Voraussetzungen für Einreise und Visum auf und verpflichtet die Mitgliedstaaten, die Einreise bzw. das Visum zu verweigern, wenn die Voraussetzungen nicht erfüllt sind. Einen Anspruch auf Einreise bzw. Visumserteilung vermittelt auch das Schengen-Recht nicht (BVGE 2014/1 E. 4.1.5).</w:t>
      </w:r>
    </w:p>
    <w:p>
      <w:r>
        <w:rPr>
          <w:b/>
        </w:rPr>
        <w:t>E. 4.2</w:t>
      </w:r>
    </w:p>
    <w:p>
      <w:r>
        <w:t>Drittstaatsangehörige benötigen zur Einreise in den Schengen-Raum für einen Aufenthalt von höchstens 90 Tagen innerhalb eines Zeitraums von 180 Tagen gültige Reisedokumente, die zum Grenzübertritt berechti-gen, und ein Visum, sofern dieses - wie vorliegend - erforderlich ist (vgl. Anhang I zur Verordnung (EU) 2018/1806, ABl. L 303/39 vom 28.11.2018; zum vollständigen Quellennachweis vgl. Fussnote zu Art. 8 Abs. 1 der Verordnung vom 15. August 2018 über die Einreise und die Visumserteilung [VEV, SR 142.204]). Im Weiteren müssen Drittstaatsangehörige den Zweck und die Umstände ihres beabsichtigten Aufenthalts belegen und hierfür über ausreichende finanzielle Mittel verfügen. Sie haben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4.3</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5</w:t>
      </w:r>
    </w:p>
    <w:p>
      <w:r>
        <w:t>Die Vorinstanz hält in ihrer Verfügung vom 12. Februar 2021 fest, die schweizerische Vertretung habe den Visumsantrag des Gesuchstellers abgewiesen, da der Nachweis nicht habe erbracht werden können, dass er über ausreichende finanzielle Mittel zur Bestreitung des Lebensunterhaltes sowohl für die Dauer des geplanten Aufenthalts als auch für die Rückreise verfüge. Zwar habe die Beschwerdeführerin bei den kantonalen Migrationsbehörden eine Verpflichtungserklärung abgegeben, diese sei hingegen gemäss den Angaben der Stadt St. Gallen nicht tragfähig. Da auch der Gesuchsteller nicht über die erforderlichen finanziellen Mittel verfüge, sei der Visumsantrag von der schweizerischen Botschaft zu Recht abgelehnt worden.</w:t>
      </w:r>
    </w:p>
    <w:p>
      <w:r>
        <w:rPr>
          <w:b/>
        </w:rPr>
        <w:t>E. 6.1</w:t>
      </w:r>
    </w:p>
    <w:p>
      <w:r>
        <w:t>Bei der Beurteilung, ob ein Drittstaatsangehöriger über ausreichende finanzielle Mittel verfügt, ist gemäss Art. 6 Abs. 1 Bst. c SGK massgebend, ob er den Lebensunterhalt sowohl für die Dauer des beabsichtigten Aufenthalts als auch für die Rückreise in den Herkunftsstaat oder für eine Durchreise in einen Drittstaat, in dem seine Zulassung gewährleistet ist, bestreiten kann oder in der Lage ist, diese Mittel rechtmässig zu erwerben. Die Feststellung ausreichender Mittel zur Bestreitung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 (vgl. Art. 6 Abs. 4 SGK). In diesem Sinne können auch Gastgeber die erforderlichen finanziellen Mittel zur Verfügung stellen, sofern dies das nationale Recht vorsieht.</w:t>
      </w:r>
    </w:p>
    <w:p>
      <w:r>
        <w:rPr>
          <w:b/>
        </w:rPr>
        <w:t>E. 6.2</w:t>
      </w:r>
    </w:p>
    <w:p>
      <w:r>
        <w:t>Das schweizerische Ausländerrecht setzt voraus, dass Ausländerinnen und Ausländer die für einen Aufenthalt notwendigen finanziellen Mittel besitzen (Art. 5 Abs. 1 Bst. b AIG). Gemäss Art. 3 Abs. 2 VEV gelten finanzielle Mittel im Sinne von Art. 6 Abs. 1 Bst. c SGK insbesondere dann als ausreichend, wenn sichergestellt ist, dass während des Aufenthalts hierzulande keine Sozialhilfeleistungen bezogen werden. Der Nachweis ausreichender finanzieller Mittel kann dabei gemäss nationalem Recht mit Bargeld, Bankguthaben, mit einer Verpflichtungserklärung oder einer anderen Sicherheit erbracht werden (Art. 3 Abs. 3 VEV). Die zuständigen Bewilligungsbehörden haben die Möglichkeit, von einer Ausländerin oder einem Ausländer die Verpflichtungserklärung einer zahlungsfähigen natürlichen oder juristischen Person mit Wohnsitz oder Sitz in der Schweiz zu verlangen (Art. 14 Abs. 1 VEV). Gemäss Art. 14 Abs. 3 Bst. b VEV können Ausländerinnen und Ausländer mit einer Aufenthaltsbewilligung oder einer Niederlassungsbewilligung eine Verpflichtungserklärung abgeben. Eine solche Erklärung umfasst gemäss Art. 15 Abs. 1 VEV ungedeckte Kosten für den Lebensunterhalt, einschliesslich Unfall und Krankheit, sowie für die Rückreise, die dem Gemeinwesen oder einem privaten Erbringer von medizinischen Dienstleistungen durch den Aufenthalt der Ausländerin oder des Ausländers im Schengen-Raum entstehen. Die Verpflichtungserklärung ist unwiderruflich (Art. 15 Abs. 2 VEV). In der Schweiz beträgt die Garantiesumme für Einzelpersonen sowie für gemeinsam reisende Gruppen und Familien bis höchstens zehn Personen Fr. 30'000. (Art. 15 Abs. 5 VEV). Die zuständige kantonale oder kommunale Behörde kontrolliert die Verpflichtungserklärung (Art. 16 Abs. 1 VEV).</w:t>
      </w:r>
    </w:p>
    <w:p>
      <w:r>
        <w:rPr>
          <w:b/>
        </w:rPr>
        <w:t>E. 7.1</w:t>
      </w:r>
    </w:p>
    <w:p>
      <w:r>
        <w:t>Es gilt somit vorab zu prüfen, ob für einen Aufenthalt des Gesuchstellers bei seiner Familie in der Schweiz ausreichende Mittel zur Bestreitung seines Lebensunterhalts zur Verfügung stehen.</w:t>
      </w:r>
    </w:p>
    <w:p>
      <w:r>
        <w:rPr>
          <w:b/>
        </w:rPr>
        <w:t>E. 7.2</w:t>
      </w:r>
    </w:p>
    <w:p>
      <w:r>
        <w:t>Der Gesuchsteller gab im Visumsantrag vom 17. September 2020 an, dass die Reise- und Lebenshaltungskosten während des Aufenthaltes von seiner Ehefrau übernommen würden (SEM act. 5/180 f.). Diese unterzeichnete am 21. Dezember 2020 eine Verpflichtungserklärung. Sie verpflichtete sich damit unwiderruflich, bis zu einem Betrag von Fr. 30'000.- sämtliche ungedeckten Kosten für den Lebensunterhalt (einschliesslich Unfall, Krankheit und Rückreise) zu übernehmen, die dem Gemeinwesen sowie privaten Erbringern von medizinischen Dienstleistungen durch den Aufenthalt des Gesuchstellers entstünden (SEM act. 10/212). Gemäss Erklärung der Bevölkerungsdienste der Stadt St. Gallen sei die Beschwerdeführerin aber nicht in der Lage, den eingegangenen finanziellen Verpflichtungen nachzukommen (SEM act. 10/212). Zwar kann diese Einschätzung durch gegenteilige Sachbeweise umgestossen werden. Solche Dokumente wurden hingegen, wie im Folgenden aufgezeigt wird, keine vorgelegt.</w:t>
      </w:r>
    </w:p>
    <w:p>
      <w:r>
        <w:rPr>
          <w:b/>
        </w:rPr>
        <w:t>E. 7.3</w:t>
      </w:r>
    </w:p>
    <w:p>
      <w:r>
        <w:t>Die Beschwerdeführerin reichte Lohnabrechnungen für die Monate Juli 2020 bis Februar 2021 ein (SEM act. 10/197-201). Daraus resultiert ein monatlicher Nettolohn in der Höhe von ca. Fr. 3'900.-. Belege über allfälliges Vermögen wurden keine eingereicht. Gemäss einem Betreibungsregisterauszug vom 21. Dezember 2020 bestehen betreffend die Beschwerdeführerin Betreibungen in der Höhe von Fr. 33'725.90, aufgeteilt in Verlustscheine nach Art. 149 SchKG (Fr. 20'833.15), Befriedigung nach Verwertung (Fr. 4'069.95), Pfändung (Fr. 7'242.80) und Rechtsvorschlag (Fr. 1'580.-). Weiter liegen 24 nicht getilgte Verlustscheine der letzten 20 Jahre im Gesamtbetrag von Fr. 48'983.80 vor (SEM act. 10/204-206). Den vorinstanzlichen Akten sind zudem zwei Kontoauszüge des Steueramts A._______ über ausstehende Steuerzahlungen in der Höhe von Fr. 1'600.- und Fr. 900.- zu entnehmen (SEM act. 10/202-203).</w:t>
      </w:r>
    </w:p>
    <w:p>
      <w:r>
        <w:rPr>
          <w:b/>
        </w:rPr>
        <w:t>E. 7.4</w:t>
      </w:r>
    </w:p>
    <w:p>
      <w:r>
        <w:t>In der Beschwerde wendet die Gastgeberin dazu pauschal ein, es sei ihr unmöglich, alle Schulden in so kurzer Zeit zu begleichen, hingegen habe sie schon vieles «aufgeräumt». Konkrete Angaben zur Schuldentilgung fehlen. Zwar ergeht aus dem eingereichten Betreibungsregisterauszug, dass gewisse Forderungen durch Befriedigung nach Verwertung erledigt sind und in einer Betreibung Rechtsvorschlag erhoben wurde (vgl. E. 7.3). Allerdings kann angesichts der noch immer bestehenden erheblichen Schulden und der nicht vorhandenen liquiden Mittel nicht davon ausgegangen werden, die Beschwerdeführerin sei garantiefähig.</w:t>
      </w:r>
    </w:p>
    <w:p>
      <w:r>
        <w:rPr>
          <w:b/>
        </w:rPr>
        <w:t>E. 7.5</w:t>
      </w:r>
    </w:p>
    <w:p>
      <w:r>
        <w:t>Damit wurde der Nachweis der erforderlichen finanziellen Mittel mit den sich in den Akten befindlichen Unterlagen nicht erbracht. Die Voraussetzungen für die Erteilung eines Besuchervisums im Sinne von Art. 6 SGK beziehungsweise Art. 5 AIG sind infolgedessen nicht erfüllt.</w:t>
      </w:r>
    </w:p>
    <w:p>
      <w:r>
        <w:rPr>
          <w:b/>
        </w:rPr>
        <w:t>E. 7.6</w:t>
      </w:r>
    </w:p>
    <w:p>
      <w:r>
        <w:t>Da bereits die finanziellen Verhältnisse der Beschwerdeführerin ein Einreisehindernis darstellen, kann auf eine Beurteilung der sonstigen Vor-aussetzungen zur Erteilung eines einheitlichen Schengen-Visums (u.a. Aufenthaltszweck und gesicherte Wiederausreise) verzichtet werden.</w:t>
      </w:r>
    </w:p>
    <w:p>
      <w:r>
        <w:rPr>
          <w:b/>
        </w:rPr>
        <w:t>E. 7.7</w:t>
      </w:r>
    </w:p>
    <w:p>
      <w:r>
        <w:t>Nichts ableiten kann die Beschwerdeführerin schliesslich aus dem Umstand, dass der Gesuchsteller letztes Jahr unter den gleichen Voraussetzungen ein Schengen-Visum für einen Besuchsaufenthalt erhalten hat (zum Anspruch auf Gleichbehandlung im Unrecht vgl. BVGE 2015/5 E. 6.4). Es geht aus der entsprechenden Verfügung des SEM vom 5. März 2020 (SEM act. 3/144) denn auch nicht hervor, welche Überlegungen ihr damals zugrunde lagen. Fest steht jedoch, dass die Voraussetzungen zur Erteilung eines Schengen-Visums aktuell bereits aufgrund der fehlenden finanziellen Mittel der Beschwerdeführerin nicht erfüllt sind (vgl. E. 4.1).</w:t>
      </w:r>
    </w:p>
    <w:p>
      <w:r>
        <w:rPr>
          <w:b/>
        </w:rPr>
        <w:t>E. 8</w:t>
      </w:r>
    </w:p>
    <w:p>
      <w:r>
        <w:t>Zu prüfen bleibt, ob es allenfalls angezeigt wäre, aus humanitären Gründen ein Visum mit räumlich beschränkter Gültigkeit auszustellen (siehe E. 4.3). Dazu ist hingegen festzuhalten, dass sich der Gesuchsteller - wie bereits erwähnt - erst letztes Jahr besuchshalber bei seiner Familie in der Schweiz aufgehalten hat. Weiter können persönliche Kontakte nicht nur in der Schweiz gepflegt werden. Für die Beschwerdeführerin und ihren Sohn (beide im Besitz einer Niederlassungsbewilligung) ist es denn auch zweifellos möglich, den Gesuchsteller im Ausland zu besuchen. Die Beschwerdeführerin macht weiter keine Gründe geltend, weshalb es nicht möglich sein sollte, den Gesuchsteller im Kosovo zu besuchen. Die Ausstellung eines Visums mit räumlich beschränkter Gültigkeit ist nach dem Gesagten nicht gerechtfertigt.</w:t>
      </w:r>
    </w:p>
    <w:p>
      <w:r>
        <w:rPr>
          <w:b/>
        </w:rPr>
        <w:t>E. 9</w:t>
      </w:r>
    </w:p>
    <w:p>
      <w:r>
        <w:t>Aus den vorstehenden Erwägungen folgt, dass sich die angefochtene Verfügung als rechtmässig erweist (Art. 49 VwVG). Die Beschwerde ist demnach abzuweisen.</w:t>
      </w:r>
    </w:p>
    <w:p>
      <w:r>
        <w:rPr>
          <w:b/>
        </w:rPr>
        <w:t>E. 10</w:t>
      </w:r>
    </w:p>
    <w:p>
      <w:r>
        <w:t>Entsprechend dem Ausgang des Verfahrens sind die Kosten der Beschwerdeführerin aufzuerlegen (vgl.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