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F-8997/2025 vom 28. November 2025</w:t>
      </w:r>
    </w:p>
    <w:p>
      <w:r>
        <w:t>Bundesverwaltungsgericht, 2025-11-28, DE</w:t>
      </w:r>
    </w:p>
    <w:p>
      <w:r>
        <w:rPr>
          <w:b/>
        </w:rPr>
        <w:t xml:space="preserve">Quelle: </w:t>
      </w:r>
      <w:r>
        <w:t>https://mcp.opencaselaw.ch/entscheid/bvger_F-8997_2025</w:t>
      </w:r>
    </w:p>
    <w:p>
      <w:r>
        <w:t>FR: TAF F-8997/2025 du 28 novembre 2025</w:t>
      </w:r>
    </w:p>
    <w:p>
      <w:r>
        <w:t>IT: TAF F-8997/2025 del 28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1.3</w:t>
      </w:r>
    </w:p>
    <w:p>
      <w:r>
        <w:t>Das vorliegende Verfahren wird aufgrund des engen sachlichen und persönlichen Zusammenhanges mit demjenigen der Mutter und Schwester (F-8985/2025) koordiniert behandelt, indes ist eine formelle Verfahrensvereinigung angesichts der unstrittigen Volljährigkeit des Beschwerdeführers mit Blick auf den hier einschlägigen Familienbegriff (s. E. 3.1 hernach) nicht angezeigt.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20 Abs. 5 Dublin-III-VO grundsätzlich Kroatien für die Behandlung des Asylgesuchs des Beschwerdeführers zuständig ist und dass das kroatische Asylsystem rechtsprechungsgemäss keine systemischen Mängel aufweist (vgl. Referenzurteil des BVGer E-1488/2020 vom 22. März 2023 E. 9.5; zuletzt Urteile des BVGer F-8593/2025 vom 18. November 2025 E. 4.1; F-8598/2025 vom 18. November 2025 E. 3.1; F-8536/2025 vom 12. November 2025 E. 3.2), aufgrund derer die Zuständigkeit gemäss Art. 3 Abs. 2 Dublin-III-VO auf die Schweiz überginge. Angesichts dessen erübrigen sich Weiterungen zur geltend gemachten Gefahr einer allfälligen Kettenabschiebung (einlässlich dazu Urteil des EuGH vom 30. November 2023, verbundene Rechtssachen C-228/21, C-254/21, C 297/21, C-315/21 und C-328/21, §§ 129-142 und Ziff. 2 des Dispositivs). Die Vorinstanz hat ferner zu Recht erkannt, dass es sich bei der Mutter und der minderjährigen Schwester des Beschwerdeführers nicht um Familienangehörige im Sinne von Art. 2 Bst. g Dublin-III-VO handelt und ein Abhängigkeitsverhältnis mit Blick auf Art. 16 Abs. 1 Dublin-III-VO beziehungsweise Art. 8 EMRK weder substanziiert dargetan noch ersichtlich ist. Sodann sind vorliegend keine völkerrechtlichen Vollzugshindernisse erkennbar, welche die Schweiz zu einem Selbsteintritt nach Art. 17 Abs. 1 Dublin-III-VO und Art. 29a Abs. 3 der Asylverordnung 1 vom 11. August 1999 (AsylV 1, SR 142.311) verpflichten würden. Dabei hat die Vorinstanz insbesondere die gesundheitlichen Probleme des Beschwerdeführers (Einschränkungen des Daumens, Zittern der Hände) berücksichtigt und rechtsprechungskonform gewürdigt. Schliesslich hat die Vorinstanz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Im Weiteren ist in Bezug auf die Vorbringen betreffend schlechte Bedingungen in Kroatien (Inhaftierung, Gewaltanwendung durch die kroatischen Behörden, prekäre Unterbringungsbedingungen, eingeschränkter Zugang zu medizinischer Versorgung) anzumerken, dass Kroatien Signatarstaat der EMRK und des Übereinkommens vom 10. Dezember 1984 gegen Folter und andere grausame, unmenschliche oder erniedrigende Behandlung oder Strafe (FoK, SR 0.105) ist und die entsprechenden völkerrechtlichen Verpflichtungen zu beachten hat. Auch angesichts der anerkanntermassen schwierigen Bedingungen für Asylsuchende in Kroatien lassen die Vorbringen des Beschwerdeführers nicht den Schluss zu, er hätte bei einer Überstellung nach Kroatien mit hoher Wahrscheinlichkeit eine unmenschliche oder erniedrigende Behandlung im Sinne von Art. 3 EMRK zu gewärtigen. Sollte er nach seiner Rückkehr von Behördenvertretern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Insoweit er sich auf gesundheitliche Leiden beruft, unterlässt er es, konkrete Ausführungen zu den behaupteten Beschwerden zu machen oder aussagekräftige Unterlagen einzureichen, zumal er gemäss einer Aktennotiz der Vorinstanz vom 14. November 2025 nie beim Gesundheitsdienst vorstellig wurde. Schliesslich besteht kein Anlass, die Vorinstanz anzuweisen, explizit Zusicherungen hinsichtlich einer angemessenen Unterbringung und medizinischen Versorgung bei den kroatischen Behörden einzuholen. Der entsprechende Subeventualantrag ist abzuweisen.</w:t>
      </w:r>
    </w:p>
    <w:p>
      <w:r>
        <w:rPr>
          <w:b/>
        </w:rPr>
        <w:t>E. 4</w:t>
      </w:r>
    </w:p>
    <w:p>
      <w:r>
        <w:t>Nach dem Gesagten ist die angefochtene Verfügung nicht zu beanstanden (Art. 106 AsylG). Die eventualiter beantragte Rückweisung an die Vorinstanz fällt bei dieser Ausgangslage ausser Betracht. Die Beschwerde ist abzuweisen.</w:t>
      </w:r>
    </w:p>
    <w:p>
      <w:r>
        <w:rPr>
          <w:b/>
        </w:rPr>
        <w:t>E. 5.1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5.2</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