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F-8985/2025 vom 28. November 2025</w:t>
      </w:r>
    </w:p>
    <w:p>
      <w:r>
        <w:t>Bundesverwaltungsgericht, 2025-11-28, DE</w:t>
      </w:r>
    </w:p>
    <w:p>
      <w:r>
        <w:rPr>
          <w:b/>
        </w:rPr>
        <w:t xml:space="preserve">Quelle: </w:t>
      </w:r>
      <w:r>
        <w:t>https://mcp.opencaselaw.ch/entscheid/bvger_F-8985_2025</w:t>
      </w:r>
    </w:p>
    <w:p>
      <w:r>
        <w:t>FR: TAF F-8985/2025 du 28 novembre 2025</w:t>
      </w:r>
    </w:p>
    <w:p>
      <w:r>
        <w:t>IT: TAF F-8985/2025 del 28 novembre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sodass auf die Beschwerde einzutreten ist.</w:t>
      </w:r>
    </w:p>
    <w:p>
      <w:r>
        <w:rPr>
          <w:b/>
        </w:rPr>
        <w:t>E. 1.3</w:t>
      </w:r>
    </w:p>
    <w:p>
      <w:r>
        <w:t>Das vorliegende Verfahren wird aufgrund des engen sachlichen und persönlichen Zusammenhangs mit demjenigen des Sohnes beziehungsweise Bruders (F-8997/2025) koordiniert behandelt, indes ist eine formelle Verfahrensvereinigung angesichts dessen unstrittiger Volljährigkeit mit Blick auf den hier einschlägigen Familienbegriff (s. E. 3.1 hernach) nicht angezeigt.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Die Vorinstanz hat korrekt erwogen, dass gestützt auf Art. 20 Abs. 5 Dublin-III-VO grundsätzlich Kroatien für die Behandlung der Asylgesuche der Beschwerdeführerinnen zuständig ist und dass das kroatische Asylsystem rechtsprechungsgemäss keine systemischen Mängel aufweist (vgl. Referenzurteil des BVGer E-1488/2020 vom 22. März 2023 E. 9.5; zuletzt Urteile des BVGer F-8593/2025 vom 18. November 2025 E. 4.1; F-8598/2025 vom 18. November 2025 E. 3.1; F-8536/2025 vom 12. November 2025 E. 3.2), aufgrund derer die Zuständigkeit gemäss Art. 3 Abs. 2 Dublin-III-VO auf die Schweiz überginge. Angesichts dessen erübrigen sich Weiterungen zur geltend gemachten Gefahr einer allfälligen Kettenabschiebung (einlässlich dazu Urteil des EuGH vom 30. November 2023, verbundene Rechtssachen C-228/21, C-254/21, C 297/21, C-315/21 und C-328/21, §§ 129-142 und Ziff. 2 des Dispositivs). Die Vorinstanz hat ferner zu Recht erkannt, dass es sich beim erwachsenen Sohn respektive dem Bruder der Beschwerdeführerinnen nicht um einen Familienangehörigen im Sinne von Art. 2 Bst. g Dublin-III-VO handelt und ein Abhängigkeitsverhältnis mit Blick auf Art. 16 Abs. 1 Dublin-III-VO beziehungsweise Art. 8 EMRK weder substanziiert dargetan noch ersichtlich ist. Sodann sind vorliegend keine völkerrechtlichen Vollzugshindernisse erkennbar, welche die Schweiz zu einem Selbsteintritt nach Art. 17 Abs. 1 Dublin-III-VO und Art. 29a Abs. 3 der Asylverordnung 1 vom 11. August 1999 (AsylV 1, SR 142.311) verpflichten würden. Dabei hat die Vorinstanz insbesondere die gesundheitlichen Leiden der Beschwerdeführerinnen (psychische Probleme und Fussverletzung [Beschwerdeführerin 1], Albträume [Beschwerdeführerin 2]) berücksichtigt und rechtsprechungskonform gewürdigt. Schliesslich hat sie in rechtsfehlerfreier Ausübung des ihr nach Art. 17 Abs. 1 Dublin-III-VO und Art. 29a Abs. 3 AsylV 1 zukommenden Ermessens von einem Selbsteintritt der Schweiz abgesehen. Sie ist demnach zu Recht in Anwendung von Art. 31a Abs. 1 Bst. b AsylG auf das Asylgesuch der Beschwerdeführerinnen nicht eingetreten und hat in Anwendung von Art. 44 AsylG deren Wegweisung nach Kroatien angeordnet. Zur näheren Begründung ist auf die korrekten vorinstanzlichen Erwägungen zu verweisen.</w:t>
      </w:r>
    </w:p>
    <w:p>
      <w:r>
        <w:rPr>
          <w:b/>
        </w:rPr>
        <w:t>E. 3.2</w:t>
      </w:r>
    </w:p>
    <w:p>
      <w:r>
        <w:t>Verbleibt anzumerken, dass die Vorbringen der Beschwerdeführerinnen auf Rechtsmittelebene an der Richtigkeit der angefochtenen Verfügung nichts zu ändern vermögen. Es ist daran zu erinnern, dass weder die Dublin-III-VO noch andere völkerrechtliche Bestimmungen den Gesuchstellenden ein Recht einräumen, den für die Durchführung des Asylverfahrens zuständigen Staat selber frei zu wählen (BVGE 2010/45 E. 8.3). Im Weiteren ist in Bezug auf die Vorbringen betreffend schlechte Bedingungen in Kroatien (Inhaftierung, Gewaltanwendung durch die kroatischen Behörden, prekäre Unterbringungsbedingungen, eingeschränkter Zugang zu medizinischer Versorgung) anzumerken, dass Kroatien Signatarstaat der EMRK und des Übereinkommens vom 10. Dezember 1984 gegen Folter und andere grausame, unmenschliche oder erniedrigende Behandlung oder Strafe (FoK, SR 0.105) ist und die entsprechenden völkerrechtlichen Verpflichtungen zu beachten hat. Auch angesichts der anerkanntermassen schwierigen Bedingungen für Asylsuchende in Kroatien lassen die Vorbringen der Beschwerdeführerinnen nicht den Schluss zu, sie hätten bei einer Überstellung nach Kroatien mit hoher Wahrscheinlichkeit eine unmenschliche oder erniedrigende Behandlung im Sinne von Art. 3 EMRK zu gewärtigen. Sollten sie nach ihrer Rückkehr von Behördenvertretern rechtswidrig behandelt werden, haben sie sich an das kroatische Justizwesen oder die dortigen Aufsichtsbehörden zu wenden. Dies gilt auch bei einer allfälligen Einschränkung der ihnen zustehenden Aufnahmebedingungen (vgl. Art. 26 der Richtlinie des Europäischen Parlaments und des Rates 2013/33/EU vom 26. Juni 2013 zur Festlegung von Normen für die Aufnahme von Personen, die internationalen Schutz beantragen [Aufnahmerichtlinie]). Insofern sie sich in gesundheitlicher Hinsicht darauf berufen, psychisch instabil zu sein und unter grossem Stress zu stehen (Beschwerdeführerin 1) respektive unter Albträumen zu leiden und schlecht schlafen zu können (Beschwerdeführerin 2), weshalb sie Beruhigungsmittel erhalten hätten, vermögen sie nicht aufzuzeigen, dass die gesundheitlichen Beschwerden derart gravierend wären, dass sie sich entscheidend auf die völkerrechtliche Zulässigkeit oder Angemessenheit der verfügten Überstellung nach Kroatien auszuwirken vermöchten (s. E. 3.1 hiervor), zumal sie aussagekräftige Unterlagen gänzlich schuldig bleiben. Schliesslich besteht kein Anlass, die Vorinstanz anzuweisen, explizit Zusicherungen hinsichtlich einer angemessenen Unterbringung und medizinischen Versorgung bei den kroatischen Behörden einzuholen. Der entsprechende Subeventualantrag ist abzuweisen.</w:t>
      </w:r>
    </w:p>
    <w:p>
      <w:r>
        <w:rPr>
          <w:b/>
        </w:rPr>
        <w:t>E. 4</w:t>
      </w:r>
    </w:p>
    <w:p>
      <w:r>
        <w:t>Nach dem Gesagten ist die angefochtene Verfügung nicht zu beanstanden (Art. 106 AsylG). Die eventualiter beantragte Rückweisung an die Vorinstanz fällt bei dieser Ausgangslage ausser Betracht. Die Beschwerde ist abzuweisen.</w:t>
      </w:r>
    </w:p>
    <w:p>
      <w:r>
        <w:rPr>
          <w:b/>
        </w:rPr>
        <w:t>E. 5.1</w:t>
      </w:r>
    </w:p>
    <w:p>
      <w:r>
        <w:t>Mit dem vorliegenden Urteil ist das Beschwerdeverfahren abgeschlossen, weshalb sich der Antrag auf Gewährung der aufschiebenden Wirkung respektive das Gesuch um Verzicht auf Erhebung eines Kostenvorschusses als gegenstandslos erweisen und der angeordnete Vollzugsstopp mit heutigem Urteil dahinfällt.</w:t>
      </w:r>
    </w:p>
    <w:p>
      <w:r>
        <w:rPr>
          <w:b/>
        </w:rPr>
        <w:t>E. 5.2</w:t>
      </w:r>
    </w:p>
    <w:p>
      <w:r>
        <w:t>Das Gesuch um Gewährung der unentgeltlichen Prozessführung ist abzuweisen, da die Begehren - wie sich aus den vorstehenden Erwägungen ergibt - von vornherein als aussichtslos zu bezeichnen waren. Die Verfahrenskosten sind den unterliegenden Beschwerdeführerinnen aufzuerlegen (Art. 63 Abs. 1 VwVG) und auf insgesamt Fr. 750.- festzusetzen (Art. 1 ff.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