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F-8956/2025 vom 19. Dezember 2025</w:t>
      </w:r>
    </w:p>
    <w:p>
      <w:r>
        <w:t>Bundesverwaltungsgericht, 2025-12-19, DE</w:t>
      </w:r>
    </w:p>
    <w:p>
      <w:r>
        <w:rPr>
          <w:b/>
        </w:rPr>
        <w:t xml:space="preserve">Quelle: </w:t>
      </w:r>
      <w:r>
        <w:t>https://mcp.opencaselaw.ch/entscheid/bvger_F-8956_2025</w:t>
      </w:r>
    </w:p>
    <w:p>
      <w:r>
        <w:t>FR: TAF F-8956/2025 du 19 décembre 2025</w:t>
      </w:r>
    </w:p>
    <w:p>
      <w:r>
        <w:t>IT: TAF F-8956/2025 del 19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(vgl. Urteil des BVGer F-5976/2023, F-5979/2023 vom 8. November 2023 E. 1.1; Moser/Beusch/Kneubühler/Kayser, Prozessieren vor dem Bundesverwaltungsgericht, 3. Aufl. 2022, Rz. 3.17).</w:t>
      </w:r>
    </w:p>
    <w:p>
      <w:r>
        <w:rPr>
          <w:b/>
        </w:rPr>
        <w:t>E. 1.2</w:t>
      </w:r>
    </w:p>
    <w:p>
      <w:r>
        <w:t>Den beiden angefochtenen Verfügungen liegen vorliegend im Wesentlichen gleichgelagerte Sachverhalte zugrunde und es stellen sich die gleichen Rechtsfragen. Zudem besteht zwischen den Beschwerdeführenden eine enge persönliche Beziehung. Die in engem sachlichen und persönlichen Zusammenhang stehenden Beschwerdeverfahren sind daher zu vereinigen und es ist in einem Urteil über sie zu entscheiden.</w:t>
      </w:r>
    </w:p>
    <w:p>
      <w:r>
        <w:rPr>
          <w:b/>
        </w:rPr>
        <w:t>E. 2.1</w:t>
      </w:r>
    </w:p>
    <w:p>
      <w:r>
        <w:t>Das Verfahren richtet sich nach dem VwVG, dem VGG und dem BGG, soweit das AsylG nichts anderes bestimmt (Art. 6 AsylG).</w:t>
      </w:r>
    </w:p>
    <w:p>
      <w:r>
        <w:rPr>
          <w:b/>
        </w:rPr>
        <w:t>E. 2.2</w:t>
      </w:r>
    </w:p>
    <w:p>
      <w:r>
        <w:t>Das Bundesverwaltungsgericht ist zuständig (Art. 105 AsylG; Art. 31 ff. VGG) und die Sachurteilsvoraussetzungen sind erfüllt, so dass auf die Beschwerden - unter Vorbehalt nachfolgender Erwägung - einzutreten ist (Art. 48 Abs. 1 VwVG, Art. 108 Abs. 3 AsylG und Art. 52 Abs. 1 VwVG). Das Gericht entscheidet über diese endgültig (Art. 83 Bst. d Ziff. 1 BGG).</w:t>
      </w:r>
    </w:p>
    <w:p>
      <w:r>
        <w:rPr>
          <w:b/>
        </w:rPr>
        <w:t>E. 2.3</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betroffenen Personen infolgedessen aus der Schweiz weggewiesen hat (vgl. BVGE 2017 VI/5 E. 3.1; 2012/4 E. 2.2; je m.w.H.). Die Fragen der Flüchtlingseigenschaft und der Asylgewährung sowie die allfällige Feststellung der Unzulässigkeit, Unzumutbarkeit und/oder Unmöglichkeit des Wegweisungsvollzuges unter Art. 83 Abs. 2-4 AIG und damit verknüpft die allfällige Anordnung einer vorläufigen Aufnahme waren demgegenüber in den vorinstanzlichen Verfahren nicht zu prüfen. Sie können folglich nicht zum Gegenstand der Beschwerdeverfahren gemacht werden, weshalb auf die entsprechenden Anträge der Beschwerdeführenden nicht einzutreten ist.</w:t>
      </w:r>
    </w:p>
    <w:p>
      <w:r>
        <w:rPr>
          <w:b/>
        </w:rPr>
        <w:t>E. 2.4</w:t>
      </w:r>
    </w:p>
    <w:p>
      <w:r>
        <w:t>Die Beschwerden erweisen sich - wie nachfolgend aufgezeigt wird - als offensichtlich 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sind.</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 aufzunehmen (Art. 18 Abs. 1 Bst. b Dublin-III-VO) sowie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w:t>
      </w:r>
    </w:p>
    <w:p>
      <w:r>
        <w:rPr>
          <w:b/>
        </w:rPr>
        <w:t>E. 3.4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 Demgegenüber findet im Rahmen eines Wiederaufnahmeverfahrens (engl.: take back) grundsätzlich keine (erneute) Zuständigkeitsprüfung nach Kapitel III statt.</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4.1</w:t>
      </w:r>
    </w:p>
    <w:p>
      <w:r>
        <w:t>Ein Aufnahmegesuch gestützt auf Art. 21 Dublin-III-VO ist so bald wie möglich, auf jeden Fall aber innerhalb von drei Monaten nach der Asylantragstellung im Sinne von Art. 20 Abs. 2 Dublin-III-VO zu stellen (Art. 21 Abs. 1 Unterabs. 1 Dublin-III-VO). Wird das Gesuch um Aufnahme eines Antragstellers nicht innerhalb der in Unterabsatz 1 niedergelegten Frist unterbreitet, so ist der Mitgliedstaat, in dem der Antrag auf internationalen Schutz gestellt wurde, für die Prüfung des Antrags zuständig (Art. 21 Abs. 1 Unterabs. 3 Variante 1 Dublin-III-VO).</w:t>
      </w:r>
    </w:p>
    <w:p>
      <w:r>
        <w:rPr>
          <w:b/>
        </w:rPr>
        <w:t>E. 4.2</w:t>
      </w:r>
    </w:p>
    <w:p>
      <w:r>
        <w:t>Ein Wiederaufnahmegesuch gestützt auf Art. 23 Dublin-III-VO ist ebenfalls so bald wie möglich, auf jeden Fall aber innerhalb von zwei Monaten nach der Eurodac-Treffermeldung im Sinne von Art. 9 Abs. 5 der Verordnung (EU) Nr. 603/2013 des Europäischen Parlaments und des Rates vom 26. uni 2013 (Eurodac-Verordnung) zu stellen (Art. 23 Abs. 2 Unterabs. 1 Dublin-III-VO). Erfolgt das Wiederaufnahmegesuch nicht innerhalb der in Abs. 2 festgesetzten Frist, so ist der Mitgliedstaat für die Prüfung des Antrags auf internationalen Schutz zuständig, in dem der neue Asylantrag gestellt wurde (Art. 23 Abs. 3 Dublin-III-VO).</w:t>
      </w:r>
    </w:p>
    <w:p>
      <w:r>
        <w:rPr>
          <w:b/>
        </w:rPr>
        <w:t>E. 4.3</w:t>
      </w:r>
    </w:p>
    <w:p>
      <w:r>
        <w:t>In diesem Zusammenhang ist auf die Rechtsprechung des Europäischen Gerichtshofs (EuGH) zu verweisen, wonach Aufnahme- und Wiederaufnahmeverfahren nach der Dublin-III-VO unter Beachtung einer Reihe zwingender Fristen durchgeführt werden müssen. Hierzu zählen die Anfragefristen von Art. 21 Abs. 1 Unterabs. 1 und 2 Dublin-III-VO sowie Art. 23 Abs. 2 Dublin-III-VO. Der Unionsgesetzgeber hat für den Fall der Nichteinhaltung dieser Fristen in Art. 21 Abs. 1 Unterabs. 3 Dublin-III-VO beziehungsweise Art. 23 Abs. 3 Dublin-III-VO die Rechtsfolge des Übergangs der Zuständigkeit vorgesehen. Dies steht in Einklang mit dem im fünften Erwägungsgrund der Dublin-III-VO erwähnten Ziel einer zügigen Bearbeitung der Asylanträge. Eine Überstellungsentscheidung kann daher nicht wirksam ergehen, wenn die festgelegten Fristen nicht eingehalten wurden (vgl. Urteil des EuGH vom 26. Juli 2017 C-670/16 Mengesteab, veröffentlicht in der digitalen Sammlung [Allgemeine Sammlung] unter &lt;http:curia.europa.eu&gt;, Rn. 49-54; BVGE 2018 VI/2 E. 7, 2017 VI/9 E. 5.2.3, je mit Hinweis auf Urteil Mengesteab).</w:t>
      </w:r>
    </w:p>
    <w:p>
      <w:r>
        <w:rPr>
          <w:b/>
        </w:rPr>
        <w:t>E. 4.4</w:t>
      </w:r>
    </w:p>
    <w:p>
      <w:r>
        <w:t>Für ein Aufnahme- oder ein Wiederaufnahmegesuch ist ein Standardformblatt zu verwenden, das Beweismittel oder Indizien im Sinne der beiden Verzeichnisse nach Art. 22 Abs. 3 Dublin-III-VO und/oder sachdienliche Angaben aus der Erklärung der betroffenen Person enthalten muss, anhand derer die Behörden des ersuchten Mitgliedstaats prüfen können, ob ihr Staat auf Grundlage der in der Dublin-III-VO festgelegten Kriterien zuständig ist (Art. 21 Abs. 3 Dublin-III-VO bzw. Art. 23 Abs. 4 Dublin-III-VO).</w:t>
      </w:r>
    </w:p>
    <w:p>
      <w:r>
        <w:rPr>
          <w:b/>
        </w:rPr>
        <w:t>E. 5.1</w:t>
      </w:r>
    </w:p>
    <w:p>
      <w:r>
        <w:t>Die Beschwerdeführerin 2 stellte ihren Asylantrag in der Schweiz am 20. März 2025 (SEM-act. 2/2). Demzufolge wäre ein den Anforderungen von Art. 21 Abs. 3 Dublin-III-VO genügendes Aufnahmegesuch betreffend die Beschwerdeführenden 2-4 unter Einhaltung der in Art. 21 Abs. 1 Unterabs. 1 Dublin-III-VO festgelegten dreimonatigen Frist spätestens bis am 20. Juni 2025 an die deutschen Behörden zu richten gewesen. Das Aufnahmegesuch der Vorinstanz betreffend die Beschwerdeführenden 2-4 datiert vom 22. April 2025. Darin teilte die Vorinstanz den deutschen Behörden mit, dass der Beschwerdeführer 1 der Ehemann («husband») der Beschwerdeführerin 2 sei (SEM-act. 44/7).</w:t>
      </w:r>
    </w:p>
    <w:p>
      <w:r>
        <w:rPr>
          <w:b/>
        </w:rPr>
        <w:t>E. 5.2</w:t>
      </w:r>
    </w:p>
    <w:p>
      <w:r>
        <w:t>Die Eurodac-Treffermeldung betreffend den Beschwerdeführer 1 lag der Vorinstanz am 24. März 2025 vor (SEM-act. 14/1). Demzufolge wäre ein den Anforderungen von Art. 23 Abs. 4 Dublin-III-VO genügendes Wiederaufnahmegesuch in Berücksichtigung der in Art. 23 Abs. 2 Unterabs. 1 Dublin-III-VO festgelegten zweimonatigen Frist spätestens bis am 24. Mai 2025 an die deutschen Behörden zu richten gewesen. Das Wiederaufnahmegesuch der Vorinstanz betreffend den Beschwerdeführer 1 datiert gleichfalls vom 22. April 2025. Darin bezeichnete die Vorinstanz die Beschwerdeführerin 2 entsprechend als Ehefrau («wife») des Beschwerdeführers 1. Darüber hinaus gab die Vorinstanz in diesem Wiederaufnahmegesuch zu der Standardfrage 13, ob der Antragsteller angab, das Hoheitsgebiet der Mitgliedstaaten verlassen zu haben («Does the applicant state that he left the territory of the Member States?») die Antwort «Ja» an und nannte als Ausreisedatum den 9. September 2024 und als Rückkehrdatum November 2024. Die Vorinstanz führte dazu weiter aus, der Beschwerdeführer 1 habe angegeben, Europa am 9. September 2024 verlassen und in den Libanon gereist zu sein, wo er sich bis zum 28. September 2024 aufgehalten habe. Dann sei er eine Woche in Syrien gewesen und habe sich anschliessend eineinhalb bis zwei Monate in der Türkei aufgehalten, bevor er nach Italien gereist sei. Der Beschwerdeführer 1 habe sich daher eigenen Angaben zufolge nicht länger als drei Monate (zweieinhalb bis maximal drei Monate) ausserhalb Europas aufgehalten (SEM-act. 46/5).</w:t>
      </w:r>
    </w:p>
    <w:p>
      <w:r>
        <w:rPr>
          <w:b/>
        </w:rPr>
        <w:t>E. 5.3.1</w:t>
      </w:r>
    </w:p>
    <w:p>
      <w:r>
        <w:t>Die Angaben der Vorinstanz gegenüber den deutschen Behörden im Aufnahmegesuch für die Beschwerdeführenden 2-4 und im Wiederaufnahmegesuch für den Beschwerdeführer 1 waren - wie das Bundesverwaltungsgericht bereits im Urteil F-3482/2025, F-3485/2025 vom 5. Juni 2025 festgehalten hat - unzutreffend. Denn der Beschwerdeführer 1 gab bei seinem persönlichen Dublin-Gespräch am 10. April 2025 an, mit der Beschwerdeführerin 2 zwar muslimisch, aber nicht standesamtlich verheiratet zu sein. Darüber hinaus hat er bei seinem persönlichen Dublin-Gespräch am 10. April 2025 zwar kein Datum zu seiner Einreise nach Italien angegeben (SEM-act. 42/3). Bei seiner Personalienaufnahme am 26. März 2025 gab er diesbezüglich jedoch an, im Dezember 2024 nach Italien eingereist zu sein (SEM-act. 31/11) (vgl. Urteil des BVGer F-3482/2025, F-3485/2025 vom 5. Juni 2025 E. 6.3). Dadurch hat die Vorinstanz sowohl im Aufnahme- als auch im Wiederaufnahmegesuch ihre Informationspflichten verletzt und es dem ersuchten Staat verunmöglicht zu prüfen, ob er gemäss der Dublin-III-VO zuständig ist.</w:t>
      </w:r>
    </w:p>
    <w:p>
      <w:r>
        <w:rPr>
          <w:b/>
        </w:rPr>
        <w:t>E. 5.3.2</w:t>
      </w:r>
    </w:p>
    <w:p>
      <w:r>
        <w:t>Die als «zusätzliche Information» bezeichnete Mitteilung vom 12. Juni 2025 zum Wiederaufnahmegesuch betreffend den Beschwerdeführer 1 (SEM-act. 75/2) sowie die ebenfalls als «zusätzliche Information» bezeichnete Mitteilung vom 3. September 2025 zum Aufnahmegesuch betreffend die Beschwerdeführenden 2-4 sowie zum Wiederaufnahmegesuch betreffend den Beschwerdeführer 1 (SEM-act. 84/2), mit denen sich die Vorinstanz zur Bestätigung der Aufnahme und Wiederaufnahme der Beschwerdeführenden an die deutschen Behörden wandte, ändern daran nichts. Denn diese hätten - unabhängig davon, ob sie geeignet gewesen wären, die Informationspflichtverletzung zu heilen - für den Beschwerdeführer 1 bis spätestens zum 24. Mai 2025 und für die Beschwerdeführenden 2-4 bis spätestens zum 20. Juni 2025 erfolgen müssen.</w:t>
      </w:r>
    </w:p>
    <w:p>
      <w:r>
        <w:rPr>
          <w:b/>
        </w:rPr>
        <w:t>E. 5.3.3</w:t>
      </w:r>
    </w:p>
    <w:p>
      <w:r>
        <w:t>Vor diesem Hintergrund wurden die in Art. 21 Abs. 1 Unterabs. 1 Dublin-III-VO und Art. 23 Abs. 2 Unterabs. 1 Dublin-III-VO festgesetzten Fristen, welche im Sinne der erwähnten Rechtsprechung des EuGH als zwingend zu erachten sind, verpasst.</w:t>
      </w:r>
    </w:p>
    <w:p>
      <w:r>
        <w:rPr>
          <w:b/>
        </w:rPr>
        <w:t>E. 5.4</w:t>
      </w:r>
    </w:p>
    <w:p>
      <w:r>
        <w:t>Nach dem Gesagten ist die Vorinstanz gestützt auf Art. 23 Abs. 3 Dublin-III-VO für die Prüfung des Asylgesuchs des Beschwerdeführers 1 und gestützt auf Art. 21 Abs. 1 Unterabs. 3 Dublin-III-VO für die Prüfung der Asylgesuche der Beschwerdeführenden 2-4 zuständig. An dieser Schlussfolgerung vermag der Umstand, dass Deutschland bereit ist, die Beschwerdeführenden (wieder-) aufzunehmen, nichts zu ändern, zumal der EuGH im Mengesteab-Entscheid die Unbeachtlichkeit einer allfälligen Zustimmung des ersuchten Mitgliedstaats ausdrücklich unterstrichen hat (vgl. BVGE 2017 VI/9 E. 5.3.2, mit Hinweis auf Urteil Mengesteab). Ebenso wenig ändert daran etwas, dass die Frist für ein korrektes Wiederaufnahmegesuch betreffend den Beschwerdeführer 1 (vgl. vorne E. 5.2) im Zeitpunkt des bundesverwaltungsgerichtlichen Kassationsurteils F-3482/2025, F-3485/2025 vom 5. Juni 2025 bereits abgelaufen war.</w:t>
      </w:r>
    </w:p>
    <w:p>
      <w:r>
        <w:rPr>
          <w:b/>
        </w:rPr>
        <w:t>E. 6</w:t>
      </w:r>
    </w:p>
    <w:p>
      <w:r>
        <w:t>Die Beschwerden sind infolgedessen gutzuheissen, soweit darauf einzutreten ist. Die angefochtenen Verfügungen sind aufzuheben. Die Vorinstanz ist anzuweisen, auf die Asylgesuche der Beschwerdeführenden einzutreten und ihre Asyl- und Wegweisungsverfahren in der Schweiz durchzuführen.</w:t>
      </w:r>
    </w:p>
    <w:p>
      <w:r>
        <w:rPr>
          <w:b/>
        </w:rPr>
        <w:t>E. 7</w:t>
      </w:r>
    </w:p>
    <w:p>
      <w:r>
        <w:t>Die am 21. November 2025 angeordneten Vollzugsstopps werden mit diesem Urteil gegenstandslos.</w:t>
      </w:r>
    </w:p>
    <w:p>
      <w:r>
        <w:rPr>
          <w:b/>
        </w:rPr>
        <w:t>E. 8</w:t>
      </w:r>
    </w:p>
    <w:p>
      <w:r>
        <w:t>Bei diesem Ausgang der Verfahren sind den Beschwerdeführenden keine Kosten aufzuerlegen (Art. 63 Abs.°1 VwVG). Die Gesuche um Gewährung der unentgeltlichen Prozessführung und -verbeiständung werden damit gegenstandslos. Eine Parteientschädigung ist den nicht vertretenen Beschwerdeführenden trotz ihres Obsiegens nicht zuzusprechen, da ihnen keine verhältnismässig hohen und somit zu ersetzenden Parteikosten entstanden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