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F-891/2021 vom 14. März 2023</w:t>
      </w:r>
    </w:p>
    <w:p>
      <w:r>
        <w:t>Bundesverwaltungsgericht, 2023-03-14, FR</w:t>
      </w:r>
    </w:p>
    <w:p>
      <w:r>
        <w:rPr>
          <w:b/>
        </w:rPr>
        <w:t xml:space="preserve">Quelle: </w:t>
      </w:r>
      <w:r>
        <w:t>https://mcp.opencaselaw.ch/entscheid/bvger_F-891_2021</w:t>
      </w:r>
    </w:p>
    <w:p>
      <w:r>
        <w:t>FR: TAF F-891/2021 du 14 mars 2023</w:t>
      </w:r>
    </w:p>
    <w:p>
      <w:r>
        <w:t>IT: TAF F-891/2021 del 14 marzo 2023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(art. 48 al.1 PA). Présenté dans la forme et les délais prescrits par la loi, son recours est recevable (art. 50 al.1 et 52 al.1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(art. 62 al. 4 PA), ni par les considérants de la décision attaquée (ATAF 2014/24 consid. 2.2 et 2009/57 consid. 1.2 ; voir également arrêt du Tribunal fédéral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Suivant l'art. 67 al. 2 let. a de la loi du 16 décembre 2005 sur les étrangers et l'intégration (LEI, RS 142.20),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En vertu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est indésirable (arrêt du Tribunal fédéral [ci-après : TF] TF 6B_173/2013 du 19 août 2013 consid. 2.3). Elle n'est pas considérée comme une peine sanctionnant un comportement déterminé, mais comme une mesure administrative ayant pour but de prévenir une atteinte à la sécurité et à l'ordre publics (ATAF 2017 VII/2 consid. 4.4 et 6.4).</w:t>
      </w:r>
    </w:p>
    <w:p>
      <w:r>
        <w:rPr>
          <w:b/>
        </w:rPr>
        <w:t>E. 3.3</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C-6383/2014 du 6 juin 2016 consid. 5.2).</w:t>
      </w:r>
    </w:p>
    <w:p>
      <w:r>
        <w:rPr>
          <w:b/>
        </w:rPr>
        <w:t>E. 3.4</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136 II 447 consid. 3.1 et 124 II 103 consid. 1c ; arrêt du TF 1C_585/2008 du 14 mai 2009 consid. 3.1).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136 précité consid. 3.1 et 129 II 312 consid. 2.4 ; arrêt du TF 2A.391/2003 du 30 août 2004 consid. 3.5).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F-3447/2020 du 23 novembre 2021 consid. 5.2, F-4165/2019 du 16 juillet 2021 consid. 6.3 et F 2581/2016 du 21 février 2018 consid. 5.3 ; Message LEtr, FF 3568 ad art. 66 du projet) justifiant en soi le prononcé d'une interdiction d'entrée de plusieurs années (arrêt du TAF F-4022/2020 du 4 mai 2021 consid. 3.4 avec citation d'exemples concrets). Le Tribunal a également confirmé une interdiction d'entrée d'une durée de quatre ans à l'encontre d'un l'étranger ayant séjourné et travaillé illégalement en Suisse pendant sept ans (cf. arrêt du TAF F-7153/2018 du 7 octobre 2019).</w:t>
      </w:r>
    </w:p>
    <w:p>
      <w:r>
        <w:rPr>
          <w:b/>
        </w:rPr>
        <w:t>E. 3.5</w:t>
      </w:r>
    </w:p>
    <w:p>
      <w:r>
        <w:t>Le fait d'exercer une activité lucrative sans autorisation sur le territoire suisse s'apparente à du travail au noir. On entend par travail au noir, notamment, le fait d'exercer une activité salariée ou indépendante en violation des prescriptions légales, en particulier des dispositions du droit des étrangers (Message du Conseil fédéral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Conseil fédéral du 16 janvier 2002 précité, FF 2002 3371, 3372 et 3375 ; ATF 141 II 57 consid. 5.3 et 7 et 137 IV 153 consid. 1.4 et 1.7 ; arrêt du TF 2P.77/2005 du 26 août 2005 consid. 6.2). Par ailleurs,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(arrêt du TAF F-2677/2016 du 23 janvier 2017 consid. 7.2).</w:t>
      </w:r>
    </w:p>
    <w:p>
      <w:r>
        <w:rPr>
          <w:b/>
        </w:rPr>
        <w:t>E. 3.6</w:t>
      </w:r>
    </w:p>
    <w:p>
      <w:r>
        <w:t>Selon l'art. 11 al. 1 LEI, tout étranger qui entend exercer en Suisse une activité lucrative doit être titulaire d'une autorisation, quelle que soit la durée de son séjour. En outre, selon l'art. 11 al. 2 LEI, est considérée comme activité lucrative toute activité salariée ou indépendante qui procure normalement un gain, même si elle est exercée gratuitement. Enfin, selon l'art. 1a al. 1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w:t>
      </w:r>
    </w:p>
    <w:p>
      <w:r>
        <w:rPr>
          <w:b/>
        </w:rPr>
        <w:t>E. 4</w:t>
      </w:r>
    </w:p>
    <w:p>
      <w:r>
        <w:t>Il y a lieu de rappeler qu'il existe deux régimes juridiques différents concernant le prononcé des interdictions d'entrée, selon que l'intéressé est ressortissant d'un Etat de l'Union européenne ou d'un Etat tiers. En l'occurrence, la recourante est une ressortissante colombienne, soit originaire d'un Etat tiers, de sorte que le prononcé querellé s'examine à l'aune de la LEI, les dispositions de l'Accord du 21 juin 1999 entre la Confédération suisse, d'une part, et la Communauté européenne et ses Etats membres, d'autre part, sur la libre circulation des personnes (ALCP, RS 0.142.112.681) n'étant pas applicables au cas d'espèce.</w:t>
      </w:r>
    </w:p>
    <w:p>
      <w:r>
        <w:rPr>
          <w:b/>
        </w:rPr>
        <w:t>E. 5</w:t>
      </w:r>
    </w:p>
    <w:p>
      <w:r>
        <w:t>Cela précisé, il convient d'examiner si la recourante a attenté par son comportement à la sécurité et à l'ordre publics ou les a mis en danger au sens de l'art. 67 al. 2 let. a LEI, ce qui justifierait le prononcé d'une mesure d'interdiction d'entrée dans son principe. Sur ce point, il y a lieu de rappeler d'abord que le moment déterminant pour juger du bien-fondé d'une interdiction d'entrée est en principe le jour du prononcé de la décision attaquée (arrêt du TF 2C_66/2018 du 7 mai 2018 consid. 5.3.1 ; Adank-Schärer/Antoniazza-Hafner, Interdiction d'entrée prononcée à l'encontre d'un étranger délinquant, AJP/PJA 7/2018, p. 889, note de bas de page no 32). Le Tribunal peut toutefois également tenir compte d'infractions postérieures au prononcé de la mesure d'éloignement, dès lors qu'il prend en considération l'état de fait existant au moment où il statue (ATAF 2014/1 consid. 2) et qu'il lui est en principe loisible de prendre en compte des éléments nouveaux si les faits sont suffisamment établis (arrêt du TAF F-6368/2019 du 26 octobre 2020 consid. 5.5).</w:t>
      </w:r>
    </w:p>
    <w:p>
      <w:r>
        <w:rPr>
          <w:b/>
        </w:rPr>
        <w:t>E. 6</w:t>
      </w:r>
    </w:p>
    <w:p>
      <w:r>
        <w:t>Dans la décision querellée, le SEM a prononcé à l'encontre de l'intéressée une interdiction d'entrée d'une durée de trois ans au motif que, par son comportement délictueux, celle-ci avait attenté à la sécurité et à l'ordre publics en Suisse en entrant, séjournant et travaillant sur le territoire sans être au bénéfice des autorisations nécessaires. Le SEM a par ailleurs considéré qu'aucun intérêt privé susceptible de l'emportement sur l'intérêt public au prononcé d'une mesure d'éloignement ne ressortait du dossier.</w:t>
      </w:r>
    </w:p>
    <w:p>
      <w:r>
        <w:rPr>
          <w:b/>
        </w:rPr>
        <w:t>E. 6.1</w:t>
      </w:r>
    </w:p>
    <w:p>
      <w:r>
        <w:t>En l'espèce, le Tribunal constate que la recourante a elle-même admis, lors de son audition par l'administration fédérale des douanes (ci- après : AFD) du 6 février 2021, séjourner et travailler clandestinement en Suisse depuis 2019. De surcroit, elle a ajouté vouloir rester en Suisse pour y travailler et créer un meilleur futur pour ses enfants restés en Colombie. L'intéressée a, par la suite, modifié ses propos et affirmé vouloir rester en Suisse pour s'y marier, en ajoutant, dans son recours du 22 février 2021, attendre « [s]es papiers de Colombie pour pouvoir déposer à la mairie [leur] dossier de mariage ». Or, depuis cette date, et malgré l'invitation du Tribunal à fournir des informations sur l'évolution de sa situation, l'intéressée n'a fait part d'aucune démarche pour obtenir un titre de séjour ou conclure le mariage annoncé avec son fiancé.</w:t>
      </w:r>
    </w:p>
    <w:p>
      <w:r>
        <w:rPr>
          <w:b/>
        </w:rPr>
        <w:t>E. 6.2</w:t>
      </w:r>
    </w:p>
    <w:p>
      <w:r>
        <w:t>A ce stade, il s'impose donc de retenir que la recourante, par son comportement délictueux a indiscutablement attenté à la sécurité et à l'ordre publics en Suisse, de sorte qu'elle remplit les conditions d'application de l'art. 67 al. 2 let a LEI. La mesure d'interdiction d'entrée prononcée le 21 juillet 2021 est dès lors justifiée dans son principe.</w:t>
      </w:r>
    </w:p>
    <w:p>
      <w:r>
        <w:rPr>
          <w:b/>
        </w:rPr>
        <w:t>E. 7.1</w:t>
      </w:r>
    </w:p>
    <w:p>
      <w:r>
        <w:t>Au vu de ce qui précède, il convient de vérifier si la mesure d'éloignement prononcée par l'autorité inférieure pour une durée de trois ans est conforme au principe de proportionnalité.</w:t>
      </w:r>
    </w:p>
    <w:p>
      <w:r>
        <w:rPr>
          <w:b/>
        </w:rPr>
        <w:t>E. 7.2</w:t>
      </w:r>
    </w:p>
    <w:p>
      <w:r>
        <w:t>Lorsque l'autorité administrative prononce une interdiction d'entrée, elle doit en effet respecter le principe de proportionnalité et s'interdire tout arbitraire (ATF 139 II 121 consid. 6.5.1 ; ATAF 2017 VII/2 consid. 4.5 et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142 I 76 consid. 3.5.1 ; arrêt du TAF F-5267/2015 du 18 août 2016 consid. 6.1).</w:t>
      </w:r>
    </w:p>
    <w:p>
      <w:r>
        <w:rPr>
          <w:b/>
        </w:rPr>
        <w:t>E. 7.3</w:t>
      </w:r>
    </w:p>
    <w:p>
      <w:r>
        <w:t>En l'occurrence, s'agissant de l'intérêt public à l'éloignement de la recourante de Suisse, le Tribunal constate que le motif principal retenu à l'appui de cette mesure prise à son encontre, soit le séjour illégal et l'exercice d'une activité lucrative sans autorisation en Suisse, ne saurait être contesté. Non seulement l'intéressée a admis ces faits mais aussi ceux-ci lui ont valu d'être condamnée à deux reprises par la justice pénale le (...) 2021 et le (...) 2021. Quant au « retrait d'opposition contre l'ordonnance pénale » adressé au Tribunal de céans en date du 9 septembre 2022, outre l'absence de compétence matérielle de celui-ci concernant des décisions prises par la justice pénale, cet écrit met en avant la volonté de la recourante de ne pas contester les faits ayant abouti aux condamnations précitées. Les infractions en matière de police des étrangers retenues à l'encontre de la recourante doivent par ailleurs être qualifiées de graves au sens de la jurisprudence applicable (cf. consid. 3.1 et 3.4 supra). Cela étant, le prononcé d'une interdiction d'entrée est en adéquation avec la règle d'aptitude et de la nécessité. L'intéressée ayant grièvement attenté à la sécurité intérieure de la Suisse, l'intérêt public à son éloignement doit être qualifié d'important</w:t>
      </w:r>
    </w:p>
    <w:p>
      <w:r>
        <w:rPr>
          <w:b/>
        </w:rPr>
        <w:t>E. 7.4</w:t>
      </w:r>
    </w:p>
    <w:p>
      <w:r>
        <w:t>Cela étant, le Tribunal ne saurait accorder une importance prépondérante aux intérêts privés avancés par l'intéressée, soit celui de vouloir travailler et résider en Suisse pour échapper aux conditions de vie précaires en Colombie.</w:t>
      </w:r>
    </w:p>
    <w:p>
      <w:r>
        <w:rPr>
          <w:b/>
        </w:rPr>
        <w:t>E. 7.5</w:t>
      </w:r>
    </w:p>
    <w:p>
      <w:r>
        <w:t>Quant à l'intérêt privé de la recourante fondé sur l'art. 8 CEDH, le Tribunal rappelle que cette disposition vise avant tout les relations qui existent entre époux ou entre parents et enfants mineurs vivant en ménage commun (cf. ATF 144 I 266 consid. 3.3 et 144 II 1 consid. 6.1). Pour que l'étranger puisse bénéficier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ATF 140 I 77 consid. 5.2 et 137 I 113 consid. 6.1).</w:t>
      </w:r>
    </w:p>
    <w:p>
      <w:r>
        <w:rPr>
          <w:b/>
        </w:rPr>
        <w:t>E. 7.6</w:t>
      </w:r>
    </w:p>
    <w:p>
      <w:r>
        <w:t>Dans le cas d'espèce, l'intéressée a certes exprimé son désir d'épouser un ressortissant suisse résidant dans le canton de Genève. Or, malgré son apparent attachement avec cette personne, le couple n'a pas concrétisé son projet de mariage. En outre, les deux enfants de l'intéressée âgés respectivement de 24 et de 28 ans et issus d'une autre relation sont restés en Colombie. Cela étant, la recourante ne peut se prévaloir d'aucune attache déterminante avec la Suisse de nature à satisfaire aux conditions de l'art. 8 CEDH.</w:t>
      </w:r>
    </w:p>
    <w:p>
      <w:r>
        <w:rPr>
          <w:b/>
        </w:rPr>
        <w:t>E. 7.7</w:t>
      </w:r>
    </w:p>
    <w:p>
      <w:r>
        <w:t>En considération de l'ensemble des éléments objectifs et subjectifs de la cause, l'interdiction d'entrée en Suisse prise par l'autorité inférieure le 11 février 2021 est donc une mesure nécessaire et adéquate afin de protéger l'ordre public.</w:t>
      </w:r>
    </w:p>
    <w:p>
      <w:r>
        <w:rPr>
          <w:b/>
        </w:rPr>
        <w:t>E. 8</w:t>
      </w:r>
    </w:p>
    <w:p>
      <w:r>
        <w:t>Cela étant, il convient encore d'examiner si la durée de la mesure d'éloignement prise par le SEM satisfait la condition de proportionnalité. En espèce, la recourante a admis avoir séjourne et travaillé en Suisse depuis 2019. Une interdiction d'entrée d'une durée de trois ans, suite à un séjour et une activité lucrative de deux ans est proportionnée et correspond à la jurisprudence du Tribunal de céans dans des cas analogues (cf. consid. 3.1 et 3.4 supra). La durée de la mesure prononcée par le SEM satisfait ainsi à la condition précitée.</w:t>
      </w:r>
    </w:p>
    <w:p>
      <w:r>
        <w:rPr>
          <w:b/>
        </w:rPr>
        <w:t>E. 9</w:t>
      </w:r>
    </w:p>
    <w:p>
      <w:r>
        <w:t>Le SEM a par ailleurs ordonné l'inscription de l'interdiction d'entrée dans le SIS II. En raison de ce signalement, il est interdit à la recourante de pénétrer dans l'Espace Schengen jusqu'au 10 février 2024.</w:t>
      </w:r>
    </w:p>
    <w:p>
      <w:r>
        <w:rPr>
          <w:b/>
        </w:rPr>
        <w:t>E. 9.1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de la Loi fédérale sur les systèmes d'information de police de la Confédération du 13 juin 2008 [RS 361, LSIP], en relation avec l'art. 6 let. a de l'Ordonnance sur la partie nationale du Système d'information Schengen et sur le bureau SIRENE du 8 mars 2013 [RS 362.0 ; NSIS]). Le signalement dans le SIS II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Compte tenu des infractions relevant du droit des étrangers retenues à l'encontre de l'intéressée, le Tribunal considère que le signalement au SIS II se justifie et satisfait également au principe de proportionnalité (art. 21 en relation avec l'art. 24 al.2 du règlement SIS II). Il l'est d'autant plus que la Suisse, dans le champ d'application Schengen, se doit de préserver les intérêts de tous les Etats parties aux accords d'association à Schengen (arrêt du TAF F-2905/2018 du 28 février 2019 consid. 9.1). La recourante n'a par ailleurs, ni allégué, ni établi, dans le cadre de la présente procédure, qu'elle aurait obtenu un titre de séjour dans un pays de l'Espace Schengen.</w:t>
      </w:r>
    </w:p>
    <w:p>
      <w:r>
        <w:rPr>
          <w:b/>
        </w:rPr>
        <w:t>E. 10</w:t>
      </w:r>
    </w:p>
    <w:p>
      <w:r>
        <w:t>Au vu de ce qui précède, l'autorité inférieure, en rendant sa décision du 11 février 2021,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(art. 63 al.1 PA en relation avec les art. 1 à 3 du règlement du 21 février 2008 concernant les frais, dépens et indemnités fixés par le Tribunal administratif fédéral [FITAF, RS 173.320.2]) et de ne pas 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