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F-872/2026 vom 13. Februar 2026</w:t>
      </w:r>
    </w:p>
    <w:p>
      <w:r>
        <w:t>Bundesverwaltungsgericht, 2026-02-13, DE</w:t>
      </w:r>
    </w:p>
    <w:p>
      <w:r>
        <w:rPr>
          <w:b/>
        </w:rPr>
        <w:t xml:space="preserve">Quelle: </w:t>
      </w:r>
      <w:r>
        <w:t>https://mcp.opencaselaw.ch/entscheid/bvger_F-872_2026</w:t>
      </w:r>
    </w:p>
    <w:p>
      <w:r>
        <w:t>FR: TAF F-872/2026 du 13 février 2026</w:t>
      </w:r>
    </w:p>
    <w:p>
      <w:r>
        <w:t>IT: TAF F-872/2026 del 13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4.1</w:t>
      </w:r>
    </w:p>
    <w:p>
      <w:r>
        <w:t>Die Vorinstanz hat korrekt erwogen, dass gemäss Art. 13 Abs. 1 Dublin-III-VO (illegale Einreise) grundsätzlich Kroatien für die Durchführung des Asyl- und Wegweisungsverfahrens der Beschwerdeführenden zuständig ist. Ein Mitgliedstaat ist auch dann für die Prüfung eines Antrags auf internationalen Schutz zuständig, wenn die betreffende Person illegal eingereist und erfasst worden ist, ohne einen Asylantrag gestellt zu haben. In zutreffender Weise hat die Vorinstanz gestützt auf die Akten auf eine illegale Einreise der Beschwerdeführenden nach Kroatien geschlossen (vgl. SEM act. 39, act. 40 S. 4; Bst. A.b. hiervor), was auf Beschwerdeebene denn auch nicht bestritten wird. An der Zuständigkeit Kroatiens ändert auch nichts, dass das Land gegen die Beschwerdeführenden ein Einreiseverbot (wiederholt) sowie einen Abschiebungsbescheid verfügt hatte. Entsprechende Entfernungs- und Fernhaltemassnahmen stehen praxisgemäss einer Überstellung im Rahmen eines Dublin-Verfahrens nicht entgegen (vgl. etwa Urteile des BVGer F-2210/2024 vom 24. Mai 2024 E. 4.3; D-5759/2022 vom 16. Dezember 2022 E. 7.2). Mit ihrer expliziten Zustimmung vom 26. und 27. Januar 2026 bestätigten die kroatischen Behörden denn auch im Wissen um die verfügten Einreiseverbote und den Abschiebungsbescheid ihre Zuständigkeit.</w:t>
      </w:r>
    </w:p>
    <w:p>
      <w:r>
        <w:rPr>
          <w:b/>
        </w:rPr>
        <w:t>E. 4.2</w:t>
      </w:r>
    </w:p>
    <w:p>
      <w:r>
        <w:t>Weiter hat die Vorinstanz korrekt dargelegt, dass das kroatische Asylsystem rechtsprechungsgemäss keine systemischen Mängel aufweise, aufgrund derer die Zuständigkeit gemäss Art. 3 Abs. 2 Dublin-III-VO auf die Schweiz überginge (vgl. Referenzurteil E-1488/2020 vom 22. März 2023 E. 8 und E. 9.5). Ferner liege kein besonderes Abhängigkeitsverhältnis zwischen dem Beschwerdeführer und seinem (Nennung Verwandter) (N_______) in der Schweiz vor, da dieser nicht als Familienangehöriger im Sinne von Art. 2 Bst. g Dublin-III-VO gelte, und es seien keine völkerrechtlichen Vollzugshindernisse ersichtlich, welche die Schweiz zu einem Selbsteintritt nach Art. 17 Abs. 1 Dublin-III-VO verpflichten würden. Dabei hat die Vorinstanz namentlich die Vorbringen der Beschwerdeführenden in Hinblick auf die erlebte Behandlung durch die kroatischen Behörden sowie deren dokumentierten Gesundheitszustand berücksichtigt und korrekt gewürdigt. Darüber hinaus hat sie in rechtsfehlerfreier Ausübung des ihr nach Art. 17 Abs. 1 Dublin-III-VO und Art. 29a Abs. 3 der Asylverordnung 1 vom 11. August 1999 (AsylV 1, SR 142.311) zukommenden Ermessens von einem freiwilligen Selbsteintritt der Schweiz abgesehen. Sie hat dabei insbesondere die von den Beschwerdeführenden angeführten gesundheitlichen Beeinträchtigungen und die aufgrund eigener Abklärungen erstellte medizinische Sachlage (Diagnosen; Kontrollen und Therapien; Hilfsangebote) sowie die Frage einer drohenden Suizidalität aufgeführt und gewürdigt. Gleichzeitig hat sie den Umstand berücksichtigt, dass in Kroatien eine ausreichende medizinische Infrastruktur vorhanden ist und den Beschwerdeführenden dort der Zugang zu allfällig notwendigen medizinischen Behandlungen offensteht (vgl. SEM act. 36, 38 und 40 S. 3 und 7 f.). Zur näheren Begründung wird auf die korrekten vorinstanzlichen Erwägungen verwiesen. In der Beschwerde wird ausgeführt, die Beschwerdeführerin leide unter (Nennung Leiden) und habe das Medikament (...) erhalten. Dessen Abgabe sowie die Dosierung sei Beleg für (Nennung Leiden). Trotzdem sei ihr keine psychiatrische Fachbehandlung gewährt worden. Sie habe (Nennung Grund) die Medikamente abgelehnt, was ein typisches (Nennung Symptom) sei. Diese Leiden sind gesamthaft nicht derart gravierend, dass bei einer Überstellung nach Kroatien mit dem realen Risiko einer ernsten, raschen und unwiederbringlichen Verschlechterung ihres Gesundheitszustands gerechnet werden müsste, die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Kroatien verfügt zudem über eine fortschrittliche medizinische Infrastruktur und ist gemäss Art. 19 Abs. 1 und 2 der Aufnahmerichtlinie verpflichtet, den Beschwerdeführenden bei Bedarf die erforderliche medizinische Behandlung ihrer gesundheitlichen Probleme zukommen zu lassen. Antragstellenden mit besonderen Bedürfnissen ist die nötige medizinische oder sonstige Hilfe einschliesslich einer geeigneten psychologischen Betreuung zu gewähren. Das Bundesverwaltungsgericht verkennt nicht, dass sich ein stabiles Umfeld positiv auf die psychische Gesundheit einer Person auswirkt. Insofern ist das Ansinnen der Beschwerdeführenden, ihr Asylverfahren in der Schweiz durchlaufen zu können, verständlich. Die Dublin-III-VO räumt jedoch schutzsuchenden Personen kein Recht ein, den ihren Asylantrag prüfenden Mitgliedstaat und ihren Aufenthaltsort innerhalb desselben selbst auszuwählen (vgl. BVGE 2010/45 E. 8.3). Nach ihrer Ankunft in Kroatien können sich die Beschwerdeführenden an die dortigen medizinischen Institutionen wenden. Die Vorinstanz hat sich in ihrer Begründung auf die relevanten ärztlichen Unterlagen - insbesondere den (Nennung Beweismittel) - sowie auf ihre eigenen Abklärungen beim Gesundheitsdienst im BAZ J._______ vom 28. Januar 2026 gestützt. Dieser bestätigte, seitens der Rechtsvertretung sei am (...) mitgeteilt worden, dass die Beschwerdeführerin suizidal sei. Daraufhin sei sie wiederholt zu Gesprächen aufgeboten worden, wobei sie - entgegen der in der Beschwerde vertretenen Ansicht - nicht nur die Medikamente des Gesundheitsdienstes, sondern auch alle anderen Hilfsangebote abgelehnt habe. Wohl kann es infolge eines Traumas zur Ablehnung von Hilfe kommen. Dennoch erstaunt, dass die Beschwerdeführerin vor dem Hintergrund, dass ihr während des Verfahrens eine Rechtsvertretung zur Seite stand, welche ihre Interessen wahrnahm und insbesondere den Gesundheitsdienst am (...) auf ihre Suizidalität hinwies (vgl. SEM act. 37), anlässlich der verschiedenen Gespräche auch nicht ansatzweise willens war, irgendeine Hilfeleistung in Anspruch zu nehmen. Insgesamt kann vorliegend nicht auf eine Verweigerung adäquater psychiatrischer Fachbehandlung respektive auf eine unvollständige Sachverhaltsabklärung durch das SEM geschlossen werden. Angesichts obiger Ausführungen zur Rechtsprechung des EGMR und des Vorhandenseins einer genügenden medizinischen Infrastruktur durfte das SEM in antizipierter Beweiswürdigung davon ausgehen, dass aus weiteren medizinischen Abklärungen keine neuen, entscheidwesentlichen Erkenntnisse zu erwarten waren, und musste diese nicht abwarten. Soweit die Beschwerdeführenden anführen, dass die Beschwerdeführerin bei einer Rücküberstellung dem gleichen geografischen und institutionellen Raum ausgesetzt würde, in welchem die Traumatisierung stattgefunden habe, was ein hohes Risiko der Retraumatisierung berge, ist Folgendes entgegenzuhalten: Ihren Angaben zufolge war die Beschwerdeführerin in G._______ dem für die Traumatisierung ursächlichen Vorfall ausgesetzt, nicht jedoch in Kroatien. Sodann befinden sich die Beschwerdeführenden nach der Überstellung im Rahmen des Dublin-Verfahrens in einer anderen Situation als anlässlich ihrer illegalen Einreise und haben die Möglichkeit, dort Asylgesuche zu stellen (vgl. Urteil des BVGer D-5625/2022 vom 14. Dezember 2022 E. 9.2). Mangels systemischer Mängel im Sinne von Art. 3 Abs. 2 Dublin-III-VO kann davon ausgegangen werden, dass Kroatien seinen völker- und gemeinschaftsrechtlichen Verpflichtungen gegenüber Personen in der Situation der Beschwerdeführenden nachkommt und insbesondere auch die Rechte respektiert und schützt, die sich aus der sogenannten Verfahrens- und Aufnahmerichtlinie ergeben (vgl. Urteile der BVGer F-1883/2023 vom 12. April 2023 E. 8.2 und F-647/2023 vom 9. Februar 2023 E. 7.1; je m.H.). Die Vorinstanz hat den medizinischen Umständen bei der Bestimmung der konkreten Überstellungsmodalitäten Rechnung zu tragen und sicherzustellen, dass die kroatischen Behörden vorgängig in geeigneter Weise über die spezifischen medizinischen Umstände informiert werden (vgl. Art. 31 f. Dublin-III-VO).</w:t>
      </w:r>
    </w:p>
    <w:p>
      <w:r>
        <w:rPr>
          <w:b/>
        </w:rPr>
        <w:t>E. 4.3</w:t>
      </w:r>
    </w:p>
    <w:p>
      <w:r>
        <w:t>Unter diesen Umständen liegt keine Verweigerung adäquater psychiatrischer Fachbehandlung beziehungsweise keine unrichtige oder unvollständige Abklärung des rechtserheblichen Sachverhalts vor. Die entsprechende Rüge ist unbegründet.</w:t>
      </w:r>
    </w:p>
    <w:p>
      <w:r>
        <w:rPr>
          <w:b/>
        </w:rPr>
        <w:t>E. 5</w:t>
      </w:r>
    </w:p>
    <w:p>
      <w:r>
        <w:t>Nach dem Gesagten ist die angefochtene Verfügung vom 28. Januar 2026 nicht zu beanstanden und die Beschwerde ist abzuweisen.</w:t>
      </w:r>
    </w:p>
    <w:p>
      <w:r>
        <w:rPr>
          <w:b/>
        </w:rPr>
        <w:t>E. 6</w:t>
      </w:r>
    </w:p>
    <w:p>
      <w:r>
        <w:t>Mit dem Entscheid in der Hauptsache ist das Gesuch um Erteilung der aufschiebenden Wirkung gegenstandslos geworden. Der am 6. Februar 2026 verfügte einstweilige Vollzugsstopp fällt mit dem vorliegenden Urteil dahin.</w:t>
      </w:r>
    </w:p>
    <w:p>
      <w:r>
        <w:rPr>
          <w:b/>
        </w:rPr>
        <w:t>E. 7</w:t>
      </w:r>
    </w:p>
    <w:p>
      <w:r>
        <w:t>Das Gesuch um Erlass der Verfahrenskosten ist abzuweisen, da die Begehren gemäss den vorstehenden Erwägungen als aussichtslos zu bezeichnen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