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F-869/2026 vom 5. Februar 2026</w:t>
      </w:r>
    </w:p>
    <w:p>
      <w:r>
        <w:t>Bundesverwaltungsgericht, 2026-02-05, DE</w:t>
      </w:r>
    </w:p>
    <w:p>
      <w:r>
        <w:rPr>
          <w:b/>
        </w:rPr>
        <w:t xml:space="preserve">Quelle: </w:t>
      </w:r>
      <w:r>
        <w:t>https://mcp.opencaselaw.ch/entscheid/bvger_F-869_2026</w:t>
      </w:r>
    </w:p>
    <w:p>
      <w:r>
        <w:t>FR: TAF F-869/2026 du 5 février 2026</w:t>
      </w:r>
    </w:p>
    <w:p>
      <w:r>
        <w:t>IT: TAF F-869/2026 del 5 febbraio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18 Abs. 1 Bst. d Dublin-III-VO grundsätzlich Frankreich für die Behandlung des Asylgesuchs des Beschwerdeführers zuständig ist, dass das französische Asylsystem rechtsprechungsgemäss keine systemischen Schwachstellen aufweist, aufgrund derer die Zuständigkeit gemäss Art. 3 Abs. 2 Dublin-III-VO auf die Schweiz überginge (vgl. jüngst statt vieler Urteil des BVGer F-228/2026 vom 16. Januar 2026 E. 4), und dass vorliegend keine völkerrechtlichen Vollzugshindernisse ersichtlich sind, welche die Schweiz zu einem Selbsteintritt nach Art. 17 Abs. 1 Dublin-III-VO verpflichten würden. Dabei hat die Vorinstanz insbesondere den gesundheitlichen Zustand des Beschwerdeführers rechtsgenüglich abgeklärt und seine Beschwerden angemessen berücksichtigt. Sie hat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Frankreich angeordnet. In Verneinung systemischer Mängel im französischen Asylsystem erübrigen sich Weiterungen zur geltend gemachten Gefahr einer allfälligen Kettenabschiebung (siehe einlässlich dazu Urteil des EuGH vom 30. November 2023, verbundene Rechtssachen C-228/21, C-254/21, C-297/21, C-315/21 und C-328/21, §§ 129-142 und Ziff. 2 des Dispositivs). Zur näheren Begründung wird auf die Erwägungen der Vorinstanz verwiesen.</w:t>
      </w:r>
    </w:p>
    <w:p>
      <w:r>
        <w:rPr>
          <w:b/>
        </w:rPr>
        <w:t>E. 2.2</w:t>
      </w:r>
    </w:p>
    <w:p>
      <w:r>
        <w:t>Die vom Beschwerdeführer auf Rechtsmittelebene unsubstantiiert geltend gemachten psychischen Probleme vermögen nichts an der Richtigkeit der angefochtenen Verfügung zu ändern. Es ist daran zu erinnern, dass weder die Dublin-III-VO noch andere völkerrechtliche Bestimmungen den Gesuchstellenden ein Recht einräumen, den für die Durchführung des Asylverfahrens zuständigen Staat selbst frei zu wählen (BVGE 2010/45 E. 8.3).</w:t>
      </w:r>
    </w:p>
    <w:p>
      <w:r>
        <w:rPr>
          <w:b/>
        </w:rPr>
        <w:t>E. 3</w:t>
      </w:r>
    </w:p>
    <w:p>
      <w:r>
        <w:t>Nach dem Gesagten ist die angefochtene Verfügung nicht zu beanstanden (Art. 106 AsylG) und die Beschwerde ist abzuweisen. Mit dem vorliegenden Urteil fällt der am 5. Februar 2026 angeordnete Vollzugsstopp dahin.</w:t>
      </w:r>
    </w:p>
    <w:p>
      <w:r>
        <w:rPr>
          <w:b/>
        </w:rPr>
        <w:t>E. 4</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SR173.320.2]).</w:t>
      </w:r>
    </w:p>
    <w:p>
      <w:r>
        <w:rPr>
          <w:b/>
        </w:rPr>
        <w:t>E. 5</w:t>
      </w:r>
    </w:p>
    <w:p>
      <w:r>
        <w:t>Dieses Urteil ist endgültig (Art. 83 Bst. d Ziff. 1 BGG; vgl. Urteil des BGer 2C_697/2023 vom 28. Dezember 2023 E. 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