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F-867/2026 vom 10. Februar 2026</w:t>
      </w:r>
    </w:p>
    <w:p>
      <w:r>
        <w:t>Bundesverwaltungsgericht, 2026-02-10, FR</w:t>
      </w:r>
    </w:p>
    <w:p>
      <w:r>
        <w:rPr>
          <w:b/>
        </w:rPr>
        <w:t xml:space="preserve">Quelle: </w:t>
      </w:r>
      <w:r>
        <w:t>https://mcp.opencaselaw.ch/entscheid/bvger_F-867_2026</w:t>
      </w:r>
    </w:p>
    <w:p>
      <w:r>
        <w:t>FR: TAF F-867/2026 du 10 février 2026</w:t>
      </w:r>
    </w:p>
    <w:p>
      <w:r>
        <w:t>IT: TAF F-867/2026 del 10 febbraio 2026</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L'intéressée a qualité pour recourir (art. 48 al. 1 PA). Interjeté dans la forme (art. 52 al. 1 PA) et le délai (art. 108 al. 3 LAsi) prescrits par la loi, le recours est recevable. Aux termes de l'art. 33a al. 2 phr. 1 PA, dans la procédure de recours, la langue est celle de la décision attaquée. En l'espèce, la décision litigieuse a été rendue en français, tandis que le recours a été rédigé en allemand. Il convient alors d'adopter la langue française dans le cadre de la présente procédure.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En revanche, le législateur a exceptionnellement soustrait le grief d'inopportunité à l'examen du Tribunal dans les causes relevant du domaine de l'asile (cf. ATAF 2015/9 consid. 6.2 et 8.2.2 [voir aussi consid. 5.6 non publié] et 2014/26 consid. 5.6). Le Tribunal applique le droit d'office, sans être lié par les motifs invoqués par les parties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 en lien avec les critères de détermination visés aux art. 8, 10 et 16 du règlement Dublin III - et à l'art. 20 par. 5 du règlement Dublin III (cf. ATAF 2019 VI/7 consid. 6.4.1.3 et 2017 VI/5 consid. 6.2, 6.3, 8.2.1 et 8.3), qui ne sont pas données en l'espèce.</w:t>
      </w:r>
    </w:p>
    <w:p>
      <w:r>
        <w:rPr>
          <w:b/>
        </w:rPr>
        <w:t>E. 3.3</w:t>
      </w:r>
    </w:p>
    <w:p>
      <w:r>
        <w:t>Ainsi qu'il ressort des investigations entreprises par le SEM dans la base de données « Eurodac » le 18 décembre 2025, la recourante, avant de solliciter l'octroi de l'asile en Suisse, avait déjà déposé des demandes d'asile, le 22 novembre 2023, en Croatie, puis, le 12 décembre 2023, en Allemagne. Le 29 décembre 2025, soit dans le délai prescrit par l'art. 23 par. 2 al. 1 du règlement Dublin III, le SEM a soumis aux autorités allemandes une requête aux fins de reprise en charge de la requérante fondée sur l'art. 18 par. 1 let. b du règlement Dublin III. Le 2 janvier 2026, soit dans le délai fixé par l'art. 25 par. 1 du règlement Dublin III, l'Allemagne a expressément accepté de reprendre en charge l'intéressée sur la base de l'art. 18 par. 1 let. d du règlement Dublin III. Ainsi, l'Allemagne a valablement reconnu sa compétence pour traiter la demande d'asile de la recourante. Le fait que la base réglementaire indiquée sur la demande de reprise en charge soumise par le SEM (art. 18 par. 1 let. b du règlement Dublin III) diffère de celle mentionnée par les autorités allemandes dans leur réponse (art. 18 par. 1 let. d du règlement Dublin III) ne saurait remettre en cause ce raisonnement. Dans ces deux hypothèses, en effet, les procédures applicables - et en particulier les délais auxquels elles sont soumises - sont identiques (cf. art. 23 ss. du règlement Dublin III; cf. ATAF 2019 VI/7 consid. 6.2).</w:t>
      </w:r>
    </w:p>
    <w:p>
      <w:r>
        <w:rPr>
          <w:b/>
        </w:rPr>
        <w:t>E. 3.4</w:t>
      </w:r>
    </w:p>
    <w:p>
      <w:r>
        <w:t>Il n'y a en outre aucune raison sérieuse de penser qu'il existe, en Allemagne, des défaillances systémiques dans la procédure d'asile et dans les conditions d'accueil des demandeurs d'asile, qui entraînent un risque de traitement inhumain ou dégradant au sens de l'art. 4 de la de la Charte des droits fondamentaux de l'Union européenne (Charte UE, JO C 364/1 du 18 décembre 2000) au sens de l'art. 3 par. 2 du règlement Dublin III. En effet, l'Allemagne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Partant, le respect par de ses obligations tirées du droit international public et du droit européen, en matière de procédure d'asile et de conditions d'accueil, en particulier le principe de non-refoulement (art. 33 CR), l'interdiction des mauvais traitements (art. 3 CEDH et art. 3 CCT)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[directive Procédure], JO L 180/60 du 29 juin 2013), demeure présumé (cf. ATAF 2017 VI/5 consid. 8.4 et 2010/45 consid. 7.4 et 7.5). Par ailleurs, aucun élément ne permet d'admettre qu'à son retour en Allemagne, l'intéressée serait durablement privée de soutien et des structures offertes par ce pays aux demandeurs d'asile ou qu'en cas de difficultés, les autorités allemandes ne réagiraient pas de manière appropriée et manqueraient de dûment tenir compte de sa situation personnelle.</w:t>
      </w:r>
    </w:p>
    <w:p>
      <w:r>
        <w:rPr>
          <w:b/>
        </w:rPr>
        <w:t>E. 3.5</w:t>
      </w:r>
    </w:p>
    <w:p>
      <w:r>
        <w:t>La recourante ne peut enfin se plaindre d'une violation de l'art. 9 du règlement Dublin III dans le cadre d'une procédure de reprise en charge et une application de l'art. 16 dudit règlement est par ailleurs exclue (cf. supra consid. 3.2), aucun lien de dépendance matérielle n'ayant du reste été évoqué.</w:t>
      </w:r>
    </w:p>
    <w:p>
      <w:r>
        <w:rPr>
          <w:b/>
        </w:rPr>
        <w:t>E. 3.6</w:t>
      </w:r>
    </w:p>
    <w:p>
      <w:r>
        <w:t>Dans ces conditions, l'application de l'art. 3 par. 2 du règlement Dublin III ne se justifie pas et l'Allemagne demeure l'Etat compétent pour traiter la demande de protection internationale de la recourante.</w:t>
      </w:r>
    </w:p>
    <w:p>
      <w:r>
        <w:rPr>
          <w:b/>
        </w:rPr>
        <w:t>E. 4</w:t>
      </w:r>
    </w:p>
    <w:p>
      <w:r>
        <w:t>Pour s'opposer à son transfert, la recourante invoque son mariage religieux avec B._______ et se prévaut implicitement à ce titre d'une violation de l'art. 17 du règlement Dublin III en lien avec les art. 8 CEDH et 29a OA 1.</w:t>
      </w:r>
    </w:p>
    <w:p>
      <w:r>
        <w:rPr>
          <w:b/>
        </w:rPr>
        <w:t>E. 4.1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w:t>
      </w:r>
    </w:p>
    <w:p>
      <w:r>
        <w:rPr>
          <w:b/>
        </w:rPr>
        <w:t>E. 4.2</w:t>
      </w:r>
    </w:p>
    <w:p>
      <w:r>
        <w:t>Les relations familiales visées par l'art. 8 CEDH sont avant tout celles qui concernent la famille au sens étroit (famille nucléaire), soit celles qui existent entre époux ainsi qu'entre parents et enfants mineurs vivant en ménage commun (cf. ATF 147 I 268 consid. 1.2. et les réf. citées). Selon la jurisprudence, les fiancés ou les concubins ne sont en principe pas habilités à invoquer la protection de la vie familiale dans le sens de l'art. 8 CEDH, à moins que le couple n'entretienne depuis longtemps des relations étroites et effectives et qu'il n'existe des indices concrets d'un mariage sérieusement voulu et imminent (cf. arrêt du Tribunal fédéral[ci-après : le TF] 2C_584/2022 du 29 juillet 2022 consid. 3.1).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 du TF 2C_722/2019 du 2 septembre 2019 consid. 4.1 ; ATAF 2012/4 consid. 3.3.3).</w:t>
      </w:r>
    </w:p>
    <w:p>
      <w:r>
        <w:rPr>
          <w:b/>
        </w:rPr>
        <w:t>E. 4.3</w:t>
      </w:r>
    </w:p>
    <w:p>
      <w:r>
        <w:t>En l'espèce, le Tribunal constate que le lien marital entre la recourante et B._______ n'est pas établi. Leur mariage religieux, qui aurait été - selon les déclarations de la recourante - célébré dans un centre culturel alévi en Suisse, n'est attesté par aucun document. De plus, les allégations de l'intéressée selon lesquelles le couple a entrepris des démarches en vue d'un mariage devant l'état civil en Suisse, en date du 30 janvier 2026, ne sont pas non plus justifiés par pièces. Quoi qu'il en soit, l'existence de telles démarches ne seraient pas en soi suffisante pour démontrer qu'un mariage serait imminent, à savoir que les futurs époux ont entrepris des démarches concrètes, avancées et vérifiables en vue de la célébration du mariage, dont la réalisation apparaît hautement probable à très brève échéance, indépendamment de toute question liée au séjour en Suisse. En tout état de cause, à considérer que de telles démarches ont été entreprises, ou le seront, elles pourront se poursuivre nonobstant un transfert de l'intéressée vers l'Allemagne. En l'absence d'un mariage valablement conclu, il convient encore d'examiner si la recourante est engagée dans une relation stable et effectivement vécue avec son compagnon, au point qu'elle devrait être considérée, sous l'angle de l'art. 8 CEDH, comme une vie familiale digne de protection. A ce propos, bien que la recourante soutienne que leur relation est intense et qu'elle n'imagine pas vivre sans son compagnon, il ressort de ses propres déclarations qu'une relation sérieuse et soutenue n'existe que depuis l'arrivée de B._______ en Allemagne et que le couple n'a jamais vécu en ménage commun avant le mois d'octobre 2025. Aux yeux de la jurisprudence, en l'absence d'une durée relationnelle suffisante, ni l'intensité de l'émotion ressentie et partagée au sein d'un couple ni la sériosité avec laquelle l'avenir du couple est envisagé ne sont pertinentes. De ce point de vue, les captures d'écran supplémentaires que l'intéressée a produites avec son recours ne lui sont d'aucun secours et on ne saurait reprocher au SEM, au vu de la durée clairement établie de la relation des intéressés, une violation de la maxime inquisitoire. Aussi, dans ces circonstances, le Tribunal, à l'instar de l'autorité inférieure, ne saurait reconnaître l'existence d'une relation de concubinage stable au sens de l'art. 8 CEDH.</w:t>
      </w:r>
    </w:p>
    <w:p>
      <w:r>
        <w:rPr>
          <w:b/>
        </w:rPr>
        <w:t>E. 5</w:t>
      </w:r>
    </w:p>
    <w:p>
      <w:r>
        <w:t>S'agissant de l'état de santé de la recourante, le Tribunal constate que le 28 janvier 2026, un rapport a été établi par les Etablissements Hospitaliers du Nord-Vaudois suite à une consultation en urgence en raison de douleurs thoraciques. Ce document établit un diagnostic différentiel de douleurs thoraciques d'origine musculosquelettique et mentionne qu'après l'examen clinique et examens complémentaires, il n'y avait aucun argument, clinique, anamnestique ou paraclinique, en faveur d'un syndrome coronarien aigu, une péricardite, une myocardite, une dissection aortique ou embolie pulmonaire. Au vu des plaintes de palpitations fréquentes émises par l'intéressée, la thyréostimuline devait être pistée et la patiente contactée en cas de résultat pathologique. Dans ces conditions, force est de constater qu'aucun élément médical ne fait obstacle au transfert de l'intéressée vers l'Allemagne, ce pays disposant de structures médicales comparables, voire supérieures à celles de la Suisse et parfaitement aptes à la prendre en charge si un suivi de la thyroïde devait s'avérer nécessaire. De plus, rien ne permet ainsi d'inférer que la recourante serait, à l'heure actuelle, inapte à voyager ou que son transfert vers l'Allemagne l'exposerait à un déclin grave et irréversible de son état de santé entraînant des souffrances intenses ou une réduction significative de son espérance de vie (cf. arrêts de Grande Chambre de la Cour européenne des droits de l'homme Savran c. Danemark du 7 décembre 2021, req. n° 57467/15, par. 122 à 139 ; Paposhvili c. Belgique du 13 décembre 2016, req. n° 41738/10 ; ATAF 2017 VI/7 consid. 6.2).</w:t>
      </w:r>
    </w:p>
    <w:p>
      <w:r>
        <w:rPr>
          <w:b/>
        </w:rPr>
        <w:t>E. 6</w:t>
      </w:r>
    </w:p>
    <w:p>
      <w:r>
        <w:t>Au vu de ce qui précède, le transfert de la recourante vers l'Allemagne n'est pas contraire aux obligations découlant de dispositions conventionnelles auxquelles la Suisse est liée. Par ailleurs, il ne peut être reproché à l'autorité inférieure de n'avoir pas tenu compte d'éléments importants lors de l'examen de la clause de souveraineté de l'art. 29a al. 3 OA 1, en lien avec l'art. 17 par. 1 du règlement Dublin III, ou d'en avoir fait une application contraire au droit ou aux principes constitutionnels fondamentaux, en particulier l'interdiction de l'arbitraire, l'égalité de traitement et la proportionnalité.</w:t>
      </w:r>
    </w:p>
    <w:p>
      <w:r>
        <w:rPr>
          <w:b/>
        </w:rPr>
        <w:t>E. 7</w:t>
      </w:r>
    </w:p>
    <w:p>
      <w:r>
        <w:t>Le Tribunal rappelle enfin que le règlement Dublin III ne confère pas aux demandeurs d'asile le droit de choisir l'Etat membre offrant, à leur avis, les meilleures conditions d'accueil comme Etat responsable de l'examen de leur demande d'asile (cf. arrêt de la CJUE , C-394/12 du 10 décembre 2013, Shamso Abdullahi c. Autriche, § 59 et § 62, ECLI:EU:C:2013:813 ; ATAF 2017 VI/5 consid. 8.2.1 et 2010/45 consid. 8.3).</w:t>
      </w:r>
    </w:p>
    <w:p>
      <w:r>
        <w:rPr>
          <w:b/>
        </w:rPr>
        <w:t>E. 8</w:t>
      </w:r>
    </w:p>
    <w:p>
      <w:r>
        <w:t>Dans ces conditions, c'est à bon droit que le SEM n'est pas entré en matière sur la demande d'asile de l'intéressée, en application de l'art. 31a al. 1 let. b LAsi, et qu'il a prononcé son transfert de Suisse vers l'Allemagne, en application de l'art. 44 LAsi, aucune exception à la règle générale du renvoi n'étant réalisée (art. 32 OA 1). Le recours est, par conséquent, rejeté.</w:t>
      </w:r>
    </w:p>
    <w:p>
      <w:r>
        <w:rPr>
          <w:b/>
        </w:rPr>
        <w:t>E. 9</w:t>
      </w:r>
    </w:p>
    <w:p>
      <w:r>
        <w:t>Au vu de ce qui précède, le recours 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10</w:t>
      </w:r>
    </w:p>
    <w:p>
      <w:r>
        <w:t>En raison du caractère manifestement infondé du recours, les conclusions de la recourante doivent être considérées comme étant d'emblée vouées à l'échec. La requête d'assistance judiciaire doit par conséquent être rejetée (art. 65 al. 1 PA et 102m al. 1 LAsi). 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