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F-8598/2025 vom 18. November 2025</w:t>
      </w:r>
    </w:p>
    <w:p>
      <w:r>
        <w:t>Bundesverwaltungsgericht, 2025-11-18, DE</w:t>
      </w:r>
    </w:p>
    <w:p>
      <w:r>
        <w:rPr>
          <w:b/>
        </w:rPr>
        <w:t xml:space="preserve">Quelle: </w:t>
      </w:r>
      <w:r>
        <w:t>https://mcp.opencaselaw.ch/entscheid/bvger_F-8598_2025</w:t>
      </w:r>
    </w:p>
    <w:p>
      <w:r>
        <w:t>FR: TAF F-8598/2025 du 18 novembre 2025</w:t>
      </w:r>
    </w:p>
    <w:p>
      <w:r>
        <w:t>IT: TAF F-8598/2025 del 18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1.3</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Im Rahmen eines Wiederaufnahmeverfahrens (Art. 23-25 Dublin-III-VO) findet grundsätzlich keine (erneute) Zuständigkeitsprüfung mehr statt (vgl. zum Ganzen BVGE 2017 VI/5 E. 6.2 und 8.2.1). Vielmehr ist der Mitgliedstaat, bei dem der erste Antrag auf internationalen Schutz gestellt wurde, gehalten, Antragsteller, die in einem anderen Mitgliedstaat einen Antrag auf internationalen Schutz gestellt haben, nachdem sie ihren ersten Antrag noch während des Verfahrens zur Bestimmung des zuständigen Mitgliedstaats zurückgezogen haben, wieder aufzunehmen (Art. 20 Abs. 5 Satz 1 Dublin-III-VO).</w:t>
      </w:r>
    </w:p>
    <w:p>
      <w:r>
        <w:rPr>
          <w:b/>
        </w:rPr>
        <w:t>E. 2.3</w:t>
      </w:r>
    </w:p>
    <w:p>
      <w:r>
        <w:t>Kroatien hat dem Ersuchen der Schweiz um Wiederaufnahme der Beschwerdeführerin am 8. Oktober 2025 zugestimmt (vgl. SEM-act. 22/1). Damit ist die grundsätzliche Zuständigkeit Kroatiens gegeben.</w:t>
      </w:r>
    </w:p>
    <w:p>
      <w:r>
        <w:rPr>
          <w:b/>
        </w:rPr>
        <w:t>E. 3.1</w:t>
      </w:r>
    </w:p>
    <w:p>
      <w:r>
        <w:t>Die Vorinstanz hat korrekt erwogen, dass keine wesentlichen Gründe für die Annahme von systemischen Schwachstellen des kroatischen Asyl- und Aufnahmesystems bestehen, die eine Zuständigkeit der Schweiz gemäss Art. 3 Abs. 2 Dublin-III-VO begründen würden (vgl. Referenzurteil E-1488/2020 vom 22. März 2023 E. 9.5; zuletzt etwa Urteil des BVGer F-8030/2025 vom 30. Oktober 2025 E. 3.2). Die Vorbringen der Beschwerdeführerin, einschliesslich der von ihr angeführten Berichte und Rechtsprechung, vermögen nichts an dieser Einschätzung zu ändern.</w:t>
      </w:r>
    </w:p>
    <w:p>
      <w:r>
        <w:rPr>
          <w:b/>
        </w:rPr>
        <w:t>E. 3.2</w:t>
      </w:r>
    </w:p>
    <w:p>
      <w:r>
        <w:t>Weiter hat die Vorinstanz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die von der Beschwerdeführerin geltend gemachten gesundheitlichen Beschwerden (Aufzählung Beschwerden) hinreichend gewürdigt und zutreffend festgestellt, dass ihr diverse Arzneimittel zur Behandlung ausgehändigt wurden (SEM-act. 23/1). In Bezug auf die gerügte Verletzung des Untersuchungsgrundsatzes lässt sich festhalten, dass sich die Vorinstanz bei der Beurteilung der gesundheitlichen Situation zwar lediglich auf das Verlaufsblatt der Medic-Help sowie auf die Angaben der Beschwerdeführerin im Rahmen des Dublin-Gesprächs stützte (vgl. SEM-act. 17/3 und 23/1). Allerdings war die Beschwerdeführerin über die Möglichkeit informiert, sich bezüglich ihrer physischen und psychischen Beschwerden an das Gesundheitspersonal wenden zu können und nahm diese für den Bezug von Arzneimitteln auch in Anspruch. Überdies geht aus dem Verlaufsbericht hervor, dass sie einen von ihr gewünschten Termin zur Kontrolle ihrer Schilddrüsenwerte nicht wahrgenommen hat und gemäss Akten keine weiteren offenen Arzttermine bestanden (SEM-act. 25/1). Mit Blick auf die Mitwirkungspflicht ist hinzuzufügen, dass weder sie noch ihre Rechtsvertretung - die erstmals auf Beschwerdeebene den Verdacht einer posttraumatischen Belastungsstörung (PTBS) äusserte - eine Überweisung an spezialisierte Fachärzte verlangte. Zudem wurden auch keine ärztlichen Atteste zu den im Dublin-Gespräch genannten psychologischen Behandlungen in Albanien eingereicht (SEM-act. 17/3). Eine Verletzung des Untersuchungsgrundsatzes beziehungsweise eine unvollständige Sachverhaltsfeststellung ist nach dem Gesagten nicht ersichtlich. Angesichts der vorliegenden Umstände ist zudem nicht von einer derart gravierenden gesundheitlichen Einschränkung auszugehen, aufgrund derer gestützt auf Art. 3 EMRK von einer Überstellung nach Kroatien abgesehen werden müsste (vgl. Urteil des EGMR Paposhvili gegen Belgien vom 13. Dezember 2016, Grosse Kammer, Nr. 41738/10, §§ 180-193, bestätigt durch Savran gegen Dänemark 7. Dezember 2021, Grosse Kammer, Nr. 57467/15, §§ 121 ff.). Die Vorinstanz hat sich damit in der angefochtenen Verfügung ausreichend mit den spezifischen Vorbringen der Beschwerdeführerin auseinandergesetzt und alle relevanten Sachverhaltselemente rechtsprechungskonform gewürdigt. So hat sie korrekt erwogen, dass Kroatien über eine ausreichende medizinische Infrastruktur verfügt und verpflichtet ist, der Beschwerdeführerin zumindest die Notversorgung und allfällig zwingend erforderliche Behandlungen von Krankheiten und schweren psychischen Störungen zu gewähren (zur medizinischen Infrastruktur in Kroatien siehe statt vieler Urteil F-3019/2025 vom 8. Mai 2025 E. 7.5 f.). Sofern dies im Überstellungszeitpunkt erforderlich wäre, würden die schweizerischen Behörden, die mit dem Vollzug der angefochtenen Verfügung beauftragt sind, die kroatischen Behörden in geeigneter Weise über allfällige spezifische medizinische Bedürfnisse und Umstände informieren (Art. 31 f. Dublin-III-VO). Bereits jetzt ist entsprechend in den Überstellungsmodalitäten vermerkt, inwiefern medizinische Einschränkungen bestehen. Soweit die Beschwerdeführerin die Befürchtung äussert, es drohe ihr systematische Gewalt seitens der kroatischen Polizeibehörde, ist festzuhalten, dass die Vorinstanz bereits zutreffend feststellte, dass mögliches unkorrektes oder rechtswidriges Verhalten einzelner Mitarbeitenden der kroatischen Sicherheitskräfte oder der Behörden entsprechend zur Anzeige gebracht werden können. Die von der Beschwerdeführerin geschilderten Vorfälle (siehe Bst. B) vermögen keine systemischen Mängel darzulegen oder die Schweiz zu einem Selbsteintritt zu verpflichten (vgl. Urteil F-3019/2025 E. 6.2 und 7.4 m.w.H.).</w:t>
      </w:r>
    </w:p>
    <w:p>
      <w:r>
        <w:rPr>
          <w:b/>
        </w:rPr>
        <w:t>E. 3.3</w:t>
      </w:r>
    </w:p>
    <w:p>
      <w:r>
        <w:t>Anzumerken bleibt schliesslich, dass die von der Beschwerdeführerin geltend gemachte Anwesenheit ihrer in der Schweiz aufenthaltsberechtigten volljährigen Schwester keine Zuständigkeit der Schweiz nach Art. 16 Abs. 1 Dublin-III-VO zu begründen vermag. Die Vorinstanz hat zutreffend festgehalten, dass weder aus den gelegentlichen finanziellen Unterstützungsleistungen noch aus den zwei Besuchen der Schwester in Albanien während der Flucht der Beschwerdeführerin ein besonderes Abhängigkeitsverhältnis im Sinn dieser Bestimmung beziehungsweise der diesbezüglich relevanten Rechtsprechung zu Art. 8 EMRK abgeleitet werden kann (vgl. SEM-act. 26/8). Die auf Beschwerdeebene eingereichte Zustimmungserklärung der Schwester und ihr damit verbundener Wunsch, mit ihrer Familie in der Schweiz leben zu können, vermögen an dieser Beurteilung nichts zu ändern. Ergänzend ist darauf hinzuweisen, dass die Eltern der Beschwerdeführerin und ihre weitere volljährige Schwester, die ihrerseits um Asyl ersucht hatten, ebenfalls nach Kroatien überstellt werden (vgl. Urteile des BVGer F-8030/2025 vom 3. November 2025, F-8593/2025 vom 18. November 2025). Eine allenfalls erforderliche Unterstützung könnte somit durch ihre Eltern oder ihre nach Kroatien zu überstellende Schwester gewährleistet werden. Im Übrigen ist daran zu erinnern, dass die Dublin-III-VO den Schutzsuchenden kein Recht einräumt, den ihren Antrag prüfenden Staat selber auszuwählen (vgl. BVGE 2010/45 E. 8.3).</w:t>
      </w:r>
    </w:p>
    <w:p>
      <w:r>
        <w:rPr>
          <w:b/>
        </w:rPr>
        <w:t>E. 3.4</w:t>
      </w:r>
    </w:p>
    <w:p>
      <w:r>
        <w:t>Vor diesem Hintergrund lässt die Prüfung der angefochtenen Verfügung keine Verletzung des Untersuchungsgrundsatzes erkennen (vgl. zum Ganzen statt vieler Urteil des BVGer F-4274/2023 vom 13. März 2024 E. 3; BGE 140 I 285 E. 6.3.1). Der Eventualantrag auf Rückweisung der Sache an die Vorinstanz ist damit abzuweisen. Auch der Subeventualantrag, die Vorinstanz sei anzuweisen, verbindliche Zusicherungen bezüglich der Unterbringung und der medizinischen Versorgung von den kroatischen Behörden einzuholen, ist abzuweisen (vgl. Referenzurteil E-1488/2020 vom 22. März 2023 E. 12).</w:t>
      </w:r>
    </w:p>
    <w:p>
      <w:r>
        <w:rPr>
          <w:b/>
        </w:rPr>
        <w:t>E. 3.5</w:t>
      </w:r>
    </w:p>
    <w:p>
      <w:r>
        <w:t>Zusammengefasst ist die Vorinstanz zu Recht auf das Asylgesuch der Beschwerdeführerin nicht eingetreten (Art. 31a Abs. 1 Bst. b AsylG) und hat ihre Wegweisung nach Kroatien angeordnet (Art. 44 AsylG). Im Ergebnis ist die angefochtene Verfügung nicht zu beanstanden (Art. 106 AsylG) und die Beschwerde abzuweisen. Mit diesem Urteil fällt der am 11. November 2025 angeordnete Vollzugsstopp dahin und das Gesuch um Erteilung der aufschiebenden Wirkung wird gegenstandslos.</w:t>
      </w:r>
    </w:p>
    <w:p>
      <w:r>
        <w:rPr>
          <w:b/>
        </w:rPr>
        <w:t>E. 4.1</w:t>
      </w:r>
    </w:p>
    <w:p>
      <w:r>
        <w:t>Das Gesuch um Gewährung der unentgeltlichen Prozessführung ist abzuweisen, da die Beschwerde gemäss den vorstehenden Erwägungen als aussichtslos zu bezeichnen war (Art. 65 Abs. 1 VwVG).</w:t>
      </w:r>
    </w:p>
    <w:p>
      <w:r>
        <w:rPr>
          <w:b/>
        </w:rPr>
        <w:t>E. 4.2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