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F-858/2024 vom 11. September 2024</w:t>
      </w:r>
    </w:p>
    <w:p>
      <w:r>
        <w:t>Bundesverwaltungsgericht, 2024-09-11, DE</w:t>
      </w:r>
    </w:p>
    <w:p>
      <w:r>
        <w:rPr>
          <w:b/>
        </w:rPr>
        <w:t xml:space="preserve">Quelle: </w:t>
      </w:r>
      <w:r>
        <w:t>https://mcp.opencaselaw.ch/entscheid/bvger_F-858_2024</w:t>
      </w:r>
    </w:p>
    <w:p>
      <w:r>
        <w:t>FR: TAF F-858/2024 du 11 septembre 2024</w:t>
      </w:r>
    </w:p>
    <w:p>
      <w:r>
        <w:t>IT: TAF F-858/2024 del 11 settembre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w:t>
      </w:r>
    </w:p>
    <w:p>
      <w:r>
        <w:t>F-858/2024 Seite 3 erheblichen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(vgl. BVGE 2020 VII/4 E. 2.2 m.H.).</w:t>
      </w:r>
    </w:p>
    <w:p>
      <w:r>
        <w:rPr>
          <w:b/>
        </w:rPr>
        <w:t>E. 3</w:t>
      </w:r>
    </w:p>
    <w:p>
      <w:r>
        <w:t>Der Beschwerdeführer rügt vorab eine unrichtige Feststellung des rechts- erheblichen Sachverhalts. Die Vorinstanz habe fälschlicherweise erwogen, dass er über keine familiären Verpflichtungen im Heimatland verfüge.</w:t>
      </w:r>
    </w:p>
    <w:p>
      <w:r>
        <w:rPr>
          <w:b/>
        </w:rPr>
        <w:t>E. 3.1</w:t>
      </w:r>
    </w:p>
    <w:p>
      <w:r>
        <w:t>Im Verwaltungsverfahren gilt der Untersuchungsgrundsatz (Art. 12 ff. VwVG). Die Behörden sorgen – unter Vorbehalt der Mitwirkungspflichten (Art. 13 Abs. 1 VwVG) der Parteien – für die richtige und vollständige Ab- klärung des rechtserheblichen Sachverhalts (BGE 140 I 285 E. 6.3.1 m.w.H.). Die Sachverhaltsfeststellung ist mit Blick auf Art. 49 Bst. b VwVG unrichtig, wenn der Verfügung ein falscher oder aktenwidriger Sachverhalt zugrunde gelegt wird, sei es, weil die Rechtserheblichkeit einer Tatsache zu Unrecht verneint wird oder Beweise falsch gewürdigt worden sind (BVGE 2014/2 E. 5.1; 2008/43 E. 7.5.6; ferner Urteil des BGer 2C_802/2020 vom 12. März 2021 E. 1.2.1; Urteil des BVGer F-896/2021 vom 2. August 2023 E. 3.3.2; je m.H.).</w:t>
      </w:r>
    </w:p>
    <w:p>
      <w:r>
        <w:rPr>
          <w:b/>
        </w:rPr>
        <w:t>E. 3.2</w:t>
      </w:r>
    </w:p>
    <w:p>
      <w:r>
        <w:t>Der Beschwerdeführer hatte weder im Visumsantrag noch im Ein- spracheverfahren familiäre Verpflichtungen im Heimatland geltend ge- macht. Der Gastgeber gab im vorinstanzlichen Verfahren ausdrücklich an, der Beschwerdeführer verfüge über keine solchen Verpflichtungen. Ange- sichts dessen ist nicht ersichtlich, inwiefern die Vorinstanz falschen Tatsa- chenfeststellungen unterlegen sein soll. Der Beschwerdeführer ist darauf hinzuweisen, dass der Untersuchungsgrundsatz nicht absolut gilt und seine Grenze in der Pflicht der Partei findet, an der Feststellung des rechts- erheblichen Sachverhalts mitzuwirken (Art. 13 Abs. 1 VwVG; BGE 138 II 465 E. 8.6.4; BVGE 2019/31 E. 5; ferner Urteil des BGer 2C_362/2021 vom 20. September 2021 E. 3.1; Urteile des BVGer F-599/2023 vom 31. Ja- nuar 2024 E. 4.1; F-3588/2021 vom 16. Januar 2023 E. 3.3; je m.w.H.). Entgegen der Ansicht des Beschwerdeführers hat die Vorinstanz überdies das geltend gemachte Eigentum an einer Immobilie berücksichtigt. Damit liegt der Verfügung keine den Untersuchungsgrundsatz missachtende, un- richtige oder gar willkürliche Feststellung des rechtserheblichen Sachver- halts zugrunde.</w:t>
      </w:r>
    </w:p>
    <w:p>
      <w:r>
        <w:t>F-858/2024 Seite 4</w:t>
      </w:r>
    </w:p>
    <w:p>
      <w:r>
        <w:rPr>
          <w:b/>
        </w:rPr>
        <w:t>E. 3.3</w:t>
      </w:r>
    </w:p>
    <w:p>
      <w:r>
        <w:t>Die erläuterte formelle Rüge erweist sich als unbegründet. Es besteht keine Veranlassung, die Sache zur Sachverhaltsfeststellung und Neu- beurteilung an die Vorinstanz zurückzuweisen. Das entsprechende Eventualbegehren ist abzuweisen.</w:t>
      </w:r>
    </w:p>
    <w:p>
      <w:r>
        <w:rPr>
          <w:b/>
        </w:rPr>
        <w:t>E. 4.1</w:t>
      </w:r>
    </w:p>
    <w:p>
      <w:r>
        <w:t>Der angefochtenen Verfügung liegt ein Gesuch eines indischen Staats- angehörigen um Erteilung eines Visums zu Besuchszwecken in der Schweiz zugrunde. Da sich der Beschwerdeführer als Drittstaatsangehöri- ger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4.2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4.3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w:t>
      </w:r>
    </w:p>
    <w:p>
      <w:r>
        <w:t>F-858/2024 Seite 5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4.4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4.5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w:t>
      </w:r>
    </w:p>
    <w:p>
      <w:r>
        <w:t>F-858/2024 Seite 6 Art. 3 Abs. 4 und 5 VEV; Art. 25 Abs. 1 Bst. a Visakodex; Art. 6 Abs. 5 Bst. c SGK).</w:t>
      </w:r>
    </w:p>
    <w:p>
      <w:r>
        <w:rPr>
          <w:b/>
        </w:rPr>
        <w:t>E. 5</w:t>
      </w:r>
    </w:p>
    <w:p>
      <w:r>
        <w:t>Strittig und zu prüfen ist, ob der Beschwerdeführer hinreichend Gewähr für eine fristgerechte Wiederausreise aus dem Schengen-Raum bietet.</w:t>
      </w:r>
    </w:p>
    <w:p>
      <w:r>
        <w:rPr>
          <w:b/>
        </w:rPr>
        <w:t>E. 5.1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5.2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w:t>
      </w:r>
    </w:p>
    <w:p>
      <w:r>
        <w:rPr>
          <w:b/>
        </w:rPr>
        <w:t>E. 5.3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5.4</w:t>
      </w:r>
    </w:p>
    <w:p>
      <w:r>
        <w:t>Der 92-jährige, verwitwete Beschwerdeführer lebt mit seiner Tochter in C._______, Bundesstaat D._______. Mit weiteren mutmasslich in Indien wohnhaften Verwandten dürfte er über ein dortiges familiäres Beziehungs- netz verfügen. Auch auf Beschwerdeebene machte er indes keine über das übliche Mass hinausgehenden Verpflichtungen oder gar Abhängigkeiten im familiären oder persönlichen Umfeld geltend, die besondere Gewähr für eine Rückkehr nach Indien bieten könnten (siehe E. 5.3 hiervor). Hingegen ist das Emigrationsrisiko erhöht, wenn – wie im vorliegenden Fall – durch die Anwesenheit eines Sohnes und dessen Familie in der Schweiz bereits ein familiäres Beziehungsnetz besteht (vgl. BVGE 2014/1 E. 6.2.2; Urteil des BVGer F-2974/2023 vom 29. Februar 2024 E. 8.1).</w:t>
      </w:r>
    </w:p>
    <w:p>
      <w:r>
        <w:rPr>
          <w:b/>
        </w:rPr>
        <w:t>E. 5.5</w:t>
      </w:r>
    </w:p>
    <w:p>
      <w:r>
        <w:t>In Bezug auf die wirtschaftlichen Verhältnisse ist aktenkundig, dass der Beschwerdeführer pensioniert ist und gemäss Bestätigungen der «(…)» von Juli bis September 2023 im Durchschnitt eine monatliche Rente von zirka 40’000 indischen Rupien (Fr. 425.–) erhielt. Gemäss einem undatier- ten Grundbuchauszug ist er Eigentümer einer Immobilie. Den ins Recht gelegten Bankkontoauszügen ist zu entnehmen, dass die Konten bei der «(…)» und bei «(…)» nicht auf den Namen des Beschwerdeführers, son- dern auf denjenigen des Gastgebers lauten. Vor diesem Hintergrund ist eine verlässliche Einschätzung der Vermögenssituation des Beschwerde- führers nicht möglich. Selbst wenn sich der Beschwerdeführer – wie von ihm behauptet – in einer für die lokalen Verhältnisse guten wirtschaftlichen Situation befände, vermöchte ihn dies nicht verlässlich daran zu hindern, das Herkunftsland dauerhaft zu verlassen, da Grundeigentum und andere Vermögenswerte bei einer Emigration nicht zwingend verloren gehen (vgl. BVGE 2014/1 E. 6.3.6 m.H.).</w:t>
      </w:r>
    </w:p>
    <w:p>
      <w:r>
        <w:rPr>
          <w:b/>
        </w:rPr>
        <w:t>E. 5.6</w:t>
      </w:r>
    </w:p>
    <w:p>
      <w:r>
        <w:t>Angesichts der Tatsache, dass der Gastgeber die kantonalen Behör- den am 9. August 2023 erfolglos um Erteilung einer Aufenthaltsbewilligung für den Beschwerdeführer ersuchte und damit die Absicht eines</w:t>
      </w:r>
    </w:p>
    <w:p>
      <w:r>
        <w:t>F-858/2024 Seite 8 längerfristigen Verbleibs in der Schweiz nachgewiesen ist, liegt bei letzte- rem ein akzentuiertes Risiko vor, dass er – einmal eingereist – versuchen könnte, den Aufenthalt auf eine andere rechtliche Basis abzustützen. Dies umso mehr, als er gegenüber der Schweizer Botschaft in Neu-Delhi aus- drücklich den Wunsch nach einer Wohnsitznahme in der Schweiz geäus- sert hatte. Damit ist klar, dass der Beschwerdeführer – entgegen seinen Bekundungen – eben gerade nicht einen bloss zeitlich befristeten Be- suchsaufenthalt, sondern eigentlich einen dauerhaften Verbleib in der Schweiz anstrebt. Weiter hat er angesichts seines hohen Alters ein zuse- hends steigendes Interesse am Verbleib in der Schweiz mit Blick auf die im internationalen Vergleich hohe Qualität der hiesigen Gesundheitsversor- gung (vgl. Urteile des BVGer F-1930/2024 vom 10. Juli 2024 E. 4.7; F- 5724/2023 vom 21. Mai 2024 E. 6.1; F-4580/2023 vom 8. April 2024 E. 6.4.2). Die Vorinstanz ging vor diesem Hintergrund zu Recht davon aus, die fristgerechte Wiederausreise des Beschwerdeführers sei nicht hinrei- chend gesichert. In Bezug auf das Vorbringen, der Beschwerdeführer sei bereits im 2009 in den Schengen-Raum eingereist und fristgerecht wieder ausgereist, ist festzuhalten, dass die Entscheidung über die Visumsertei- lung aufgrund der derzeitigen Situation im Herkunftsland und der aktuellen persönlichen Umstände der gesuchstellenden Person zu erfolgen hat. Zu einem früheren Zeitpunkt erteilte Visa können somit nicht als Grundlage für eine neue Entscheidung herangezogen werden. Zu berücksichtigen ist in diesem Zusammenhang insbesondere, dass der Gastgeber kurz vor Ein- reichung des Antrags auf Erteilung eines Schengen-Visums die kantonalen Behörden um Familiennachzug ersuchte. Daran zeigt sich zweifelsfrei, dass der Gastgeber als Sohn des Beschwerdeführers dessen dauerhaften Verbleib in der Schweiz anstrebt. Die Wiederausreise des Beschwerdefüh- rers ist mitnichten gesichert, zumal ein Schengen-Visum zu Besuchszwe- cken nicht dazu verwendet werden darf, ein ausländerrechtliches Famili- ennachzugsverfahren zu umgehen (vgl. Urteil F-1930/2024 E. 4.7). 6. Schliesslich bringt der Beschwerdeführer vor, eine Verweigerung des Vi- sums führe zu einer Verletzung von Art. 8 EMRK. 6.1 Art. 8 Abs. 1 EMRK beziehungsweise Art. 13 Abs. 1 BV schützen das Familienleben als solches und insbesondere die Kernfamilie, d.h. die Ge- meinschaft der Ehegatten mit ihren minderjährigen Kindern (BGE 144 I 266 E. 3.3; 144 II 1 E. 6.1; je m.w.H.). Bei hinreichender Intensität sind auch Beziehungen zwischen nahen Verwandten wesentlich. In diesem Fall setzt die Berufung auf Art. 8 Abs. 1 EMRK jedoch voraus, dass zwischen den</w:t>
      </w:r>
    </w:p>
    <w:p>
      <w:r>
        <w:t>F-858/2024 Seite 9 beteiligten Personen ein über die normalen affektiven Bindungen hinaus- gehendes Abhängigkeitsverhältnis besteht (BGE 144 II 1 E. 6.1; 137 I 154 E. 3.4.2; je m.w.H.). 6.2 Der Beschwerdeführer gehört als Vater des Gastgebers nicht zur Kern- familie. Ein Abhängigkeitsverhältnis im Sinne der Rechtsprechung zwi- schen dem Beschwerdeführer und dem Gastgeber beziehungsweise des- sen Familie wird weder geltend gemacht noch ist ein solches ersichtlich. Die Beziehung fällt folglich nicht in den Schutzbereich des Rechts auf Ach- tung des Familienlebens gemäss Art. 8 Abs. 1 EMRK. Davon abgesehen kann den Beteiligten zugemutet werden, familiäre Kontakte – wie bislang – auch ausserhalb der Schweiz oder mit modernen Kommunikationsmitteln zu pflegen und sich allenfalls in einem Drittstaat zu treffen (BGE 144 II 1 E. 6.1 m.w.H.; 143 I 21 E. 5.1; 135 I 143 E. 2.2 m.w.H.; BVGE 2011/48 E. 6.3.1; Urteil des BVGer F-3531/2022 vom 13. Juni 2024 E. 6.3 m.w.H.). 6.3 Gründe humanitärer oder anderer Art, welche die Erteilung eines Vi- sums mit räumlich beschränkter Gültigkeit rechtfertigen könnten (siehe E. 4.5 hiervor), wurden seitens des Beschwerdeführers nicht geltend ge- macht und sind auch nicht ersichtlich. 7. Im Ergebnis hat die Vorinstanz das nachgesuchte Visum zu Recht verwei- gert. Die angefochtene Verfügung erweist sich als rechtmässig (Art. 49 VwVG). Die Beschwerde ist abzuweisen. 8. Entsprechend dem Verfahrensausgang sind die Kosten dem unterliegen- den Beschwerdeführer aufzuerlegen und auf Fr. 800.– festzusetzen (vgl. Art. 63 Abs. 1 VwVG i.V.m. Art. 1 ff. des Reglements vom 21. Februar 2008 über die Kosten und Entschädigungen vor dem Bundesverwaltungsgericht [VGKE, SR 173.320.2]). Sie sind durch den in gleicher Höhe geleisteten Kostenvorschuss gedeckt. 9. Das Bundesverwaltungsgericht entscheidet in der vorliegenden Angele- genheit endgültig (Art. 83 Bst. c Ziff. 1 BGG; vgl. dazu Urteil des BGer 2C_316/2024 vom 21. Juni 2024 E. 2).</w:t>
      </w:r>
    </w:p>
    <w:p>
      <w:r>
        <w:t>F-858/2024 Seite 10</w:t>
      </w:r>
    </w:p>
    <w:p>
      <w:r>
        <w:rPr>
          <w:b/>
        </w:rPr>
        <w:t>E. 6</w:t>
      </w:r>
    </w:p>
    <w:p>
      <w:r>
        <w:t>Schliesslich bringt der Beschwerdeführer vor, eine Verweigerung des Visums führe zu einer Verletzung von Art. 8 EMRK.</w:t>
      </w:r>
    </w:p>
    <w:p>
      <w:r>
        <w:rPr>
          <w:b/>
        </w:rPr>
        <w:t>E. 6.1</w:t>
      </w:r>
    </w:p>
    <w:p>
      <w:r>
        <w:t>Art. 8 Abs. 1 EMRK beziehungsweise Art. 13 Abs. 1 BV schützen das Familienleben als solches und insbesondere die Kernfamilie, d.h. die Gemeinschaft der Ehegatten mit ihren minderjährigen Kindern (BGE 144 I 266 E. 3.3; 144 II 1 E. 6.1; je m.w.H.). Bei hinreichender Intensität sind auch Beziehungen zwischen nahen Verwandten wesentlich. In diesem Fall setzt die Berufung auf Art. 8 Abs. 1 EMRK jedoch voraus, dass zwischen den beteiligten Personen ein über die normalen affektiven Bindungen hinausgehendes Abhängigkeitsverhältnis besteht (BGE 144 II 1 E. 6.1; 137 I 154 E. 3.4.2; je m.w.H.).</w:t>
      </w:r>
    </w:p>
    <w:p>
      <w:r>
        <w:rPr>
          <w:b/>
        </w:rPr>
        <w:t>E. 6.2</w:t>
      </w:r>
    </w:p>
    <w:p>
      <w:r>
        <w:t>Der Beschwerdeführer gehört als Vater des Gastgebers nicht zur Kernfamilie. Ein Abhängigkeitsverhältnis im Sinne der Rechtsprechung zwischen dem Beschwerdeführer und dem Gastgeber beziehungsweise dessen Familie wird weder geltend gemacht noch ist ein solches ersichtlich. Die Beziehung fällt folglich nicht in den Schutzbereich des Rechts auf Achtung des Familienlebens gemäss Art. 8 Abs. 1 EMRK. Davon abgesehen kann den Beteiligten zugemutet werden, familiäre Kontakte - wie bislang - auch ausserhalb der Schweiz oder mit modernen Kommunikationsmitteln zu pflegen und sich allenfalls in einem Drittstaat zu treffen (BGE 144 II 1 E. 6.1 m.w.H.; 143 I 21 E. 5.1; 135 I 143 E. 2.2 m.w.H.; BVGE 2011/48 E. 6.3.1; Urteil des BVGer F-3531/2022 vom 13. Juni 2024 E. 6.3 m.w.H.).</w:t>
      </w:r>
    </w:p>
    <w:p>
      <w:r>
        <w:rPr>
          <w:b/>
        </w:rPr>
        <w:t>E. 6.3</w:t>
      </w:r>
    </w:p>
    <w:p>
      <w:r>
        <w:t>Gründe humanitärer oder anderer Art, welche die Erteilung eines Visums mit räumlich beschränkter Gültigkeit rechtfertigen könnten (siehe E. 4.5 hiervor), wurden seitens des Beschwerdeführers nicht geltend gemacht und sind auch nicht ersichtlich.</w:t>
      </w:r>
    </w:p>
    <w:p>
      <w:r>
        <w:rPr>
          <w:b/>
        </w:rPr>
        <w:t>E. 7</w:t>
      </w:r>
    </w:p>
    <w:p>
      <w:r>
        <w:t>Im Ergebnis hat die Vorinstanz das nachgesuchte Visum zu Recht verweigert. Die angefochtene Verfügung erweist sich als rechtmässig (Art. 49 VwVG). Die Beschwerde ist abzuweisen.</w:t>
      </w:r>
    </w:p>
    <w:p>
      <w:r>
        <w:rPr>
          <w:b/>
        </w:rPr>
        <w:t>E. 8</w:t>
      </w:r>
    </w:p>
    <w:p>
      <w:r>
        <w:t>Entsprechend dem Verfahrensausgang sind die Kosten dem unterliegenden Beschwerdeführer aufzuerlegen und auf Fr. 800.- festzusetzen (vgl. Art. 63 Abs. 1 VwVG i.V.m. Art. 1 ff. des Reglements vom 21. Februar 2008 über die Kosten und Entschädigungen vor dem Bundesverwaltungsgericht [VGKE, SR 173.320.2]). Sie sind durch den in gleicher Höhe geleisteten Kostenvorschuss gedeckt.</w:t>
      </w:r>
    </w:p>
    <w:p>
      <w:r>
        <w:rPr>
          <w:b/>
        </w:rPr>
        <w:t>E. 9</w:t>
      </w:r>
    </w:p>
    <w:p>
      <w:r>
        <w:t>Das Bundesverwaltungsgericht entscheidet in der vorliegenden Angelegenheit endgültig (Art. 83 Bst. c Ziff. 1 BGG; vgl. dazu Urteil des BGer 2C_316/2024 vom 21. Juni 2024 E. 2).</w:t>
      </w:r>
    </w:p>
    <w:p>
      <w:r>
        <w:rPr>
          <w:b/>
        </w:rPr>
        <w:t>E. 10</w:t>
      </w:r>
    </w:p>
    <w:p>
      <w:r>
        <w:t>Juni 2024 E. 6.2; F-3759/2023 vom 9. Februar 2024 E. 6.1; je m.w.H.). Dem Einwand des Beschwerdeführers, die schwierige wirtschaftliche Lage in Indien dürfe nicht zur pauschalen Annahme führen, dass indische Staatsangehörige nicht fristgerecht aus dem Schengen-Raum ausreisen würden, ist entgegenzuhalten, dass ein gewisser Schematismus in diesem Zusammenhang nicht in Abrede gestellt werden kann. Visumsverweigerun- gen erfolgen aber nicht pauschal aufgrund der Staatszugehörigkeit, son- dern unter Vornahme einer Einzelfallprüfung. Die Vorinstanz nahm im Rah- men einer Gesamtwürdigung umfassend auf die persönlichen Lebensum- stände des Beschwerdeführers Bezug (siehe E. 5.4 ff. hiernach). Dass da- bei Gesuchstellenden in ähnlichen Lebenssituationen – unter Berücksich- tigung der Besonderheiten des Einzelfalls – grundsätzlich ein gleicher Ent- scheid zukommt, spricht denn auch für eine rechtsgleiche Anwendung der Voraussetzungen bei der Prüfung einer Visumerteilung. Es ist nicht zu be- anstanden, dass die Vorinstanz das Risiko einer nicht fristgerechten Wie- derausreise in Bezug auf gesuchstellende Personen aus Indien allgemein als erheblich einschätzt.</w:t>
      </w:r>
    </w:p>
    <w:p>
      <w:r>
        <w:t>F-858/2024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