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F-857/2021 vom 9. Januar 2023</w:t>
      </w:r>
    </w:p>
    <w:p>
      <w:r>
        <w:t>Bundesverwaltungsgericht, 2023-01-09, DE</w:t>
      </w:r>
    </w:p>
    <w:p>
      <w:r>
        <w:rPr>
          <w:b/>
        </w:rPr>
        <w:t xml:space="preserve">Quelle: </w:t>
      </w:r>
      <w:r>
        <w:t>https://mcp.opencaselaw.ch/entscheid/bvger_F-857_2021</w:t>
      </w:r>
    </w:p>
    <w:p>
      <w:r>
        <w:t>FR: TAF F-857/2021 du 9 janvier 2023</w:t>
      </w:r>
    </w:p>
    <w:p>
      <w:r>
        <w:t>IT: TAF F-857/2021 del 9 gennaio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w:t>
      </w:r>
    </w:p>
    <w:p>
      <w:r>
        <w:t>Der Beschwerdeführer ist Staatsangehöriger Deutschlands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Der Beschwerdeführer rügt, die Vorinstanz sei auf seine detaillierte Stellungnahme im vorinstanzlichen Verfahren nicht genügend eingegangen und habe damit seinen Anspruch auf rechtliches Gehör verletzt. Diese formelle Rüge ist vorab zu beurteilen, da sie allenfalls geeignet sein könnte, eine Kassation der vorinstanzlichen Verfügung zu bewirken (BGE 142 II 218 E. 2.8.1).</w:t>
      </w:r>
    </w:p>
    <w:p>
      <w:r>
        <w:rPr>
          <w:b/>
        </w:rPr>
        <w:t>E. 4.2</w:t>
      </w:r>
    </w:p>
    <w:p>
      <w:r>
        <w:t>Der Anspruch auf rechtliches Gehör (Art. 29 Abs. 2 BV;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Vorinstanz hat die Gründe für die Verhängung des Einreiseverbots dargelegt und die privaten und öffentlichen Interessen gegeneinander abgewogen. Auch wenn die entsprechenden Ausführungen knapp ausgefallen sind, ist nachvollziehbar, auf welchen Grundlagen und weshalb das Einreiseverbot ausgesprochen wurde. Dementsprechend war es dem Beschwerdeführer ohne weiteres möglich, die Verfügung sachgerecht anzufechten. Folglich erweist sich auch die Rüge betreffend Verletzung der Begründungspflicht als ungerechtfertigt.</w:t>
      </w:r>
    </w:p>
    <w:p>
      <w:r>
        <w:rPr>
          <w:b/>
        </w:rPr>
        <w:t>E. 5.1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angeordnet. Es kann für eine längere Dauer verfügt werden, wenn die betroffene Person eine schwerwiegende Gefahr für die öffentliche Sicherheit und Ordnung darstellt (Art. 67 Abs. 3 AIG).</w:t>
      </w:r>
    </w:p>
    <w:p>
      <w:r>
        <w:rPr>
          <w:b/>
        </w:rPr>
        <w:t>E. 5.2</w:t>
      </w:r>
    </w:p>
    <w:p>
      <w:r>
        <w:t>Aus humanitären oder anderen wichtigen Gründen kann ausnahmsweise von der Verhängung eines Einreiseverbots abgesehen oder ein Einreiseverbot vollständig oder vorübergehend aufgehoben werden (Art. 67 Abs. 5 AIG).</w:t>
      </w:r>
    </w:p>
    <w:p>
      <w:r>
        <w:rPr>
          <w:b/>
        </w:rPr>
        <w:t>E. 6.1</w:t>
      </w:r>
    </w:p>
    <w:p>
      <w:r>
        <w:t>Im Anwendungsbereich des Freizügigkeitsabkommens stellt ein Einreiseverbot nach Art. 67 AIG eine Massnahme dar, welche die Ausübung vertraglich zugesicherter Rechte auf Freizügigkeit - hier des Rechts auf Einreise (Art. 3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w:t>
      </w:r>
    </w:p>
    <w:p>
      <w:r>
        <w:rPr>
          <w:b/>
        </w:rPr>
        <w:t>E. 7.1</w:t>
      </w:r>
    </w:p>
    <w:p>
      <w:r>
        <w:t>Die Vorinstanz führt aus, aufgrund der Verfehlungen des Beschwerdeführers bestehe ein grosses öffentliches Interesse an seiner Fernhaltung. Damit sei auch die geforderte gegenwärtige und hinreichend schwere Gefahr für die Grundinteressen der Gemeinschaft (Sicherheit und Ordnung) gegeben. Er habe zwar im Strafvollzug und nach seiner Entlassung zu keinen Beanstandungen Anlass gegeben, jedoch könne nicht mit abschliessender Sicherheit gesagt werden, dass er sich in Zukunft in der Freiheit regelkonform verhalten werde. Er habe in besonders sensiblen Bereichen delinquiert, in denen selbst ein geringes Restrisiko weiterer Rechtsverletzungen nicht mehr in Kauf genommen werden müsse. Als EU-Bürger sei es ihm zuzumuten, in seinem Heimatstaat weiter zu beweisen, dass er willens und fähig sei, die volle Verantwortung für sein Verhalten zu übernehmen. Es sei unbestritten, dass die Kontaktpflege zu der in der Schweiz wohnhaften deutschen Partnerin durch das Einreiseverbot beeinträchtigt werde, jedoch seien Besuchsaufenthalte im Rahmen von Suspensionsverfügungen möglich. Treffen ausserhalb der Schweiz seien ebenfalls möglich und der Kontakt könne über Kommunikationsmittel gepflegt werden. Den Kindseltern habe bereits vor der Schwangerschaft bewusst sein müssen, dass das Familienleben aufgrund der Nichterteilung einer Aufenthaltsbewilligung und des hängigen Einreiseverbots in der Schweiz nicht gelebt werden könne.</w:t>
      </w:r>
    </w:p>
    <w:p>
      <w:r>
        <w:rPr>
          <w:b/>
        </w:rPr>
        <w:t>E. 7.2</w:t>
      </w:r>
    </w:p>
    <w:p>
      <w:r>
        <w:t>Der Beschwerdeführer erwidert, er habe sich seit der Verübung seiner letzten Straftat im Jahr 2014 wohlverhalten und sein Leben geändert. Die Straftaten seien auf sein damals jugendliches Alter zurückzuführen und seien jeweils unter dem Einfluss von Alkohol erfolgt. Sein Alkoholproblem habe er gelöst und er lebe seit bald sieben Jahren abstinent. Dabei habe ihm der rund zweijährige Aufenthalt in der Klinik für forensische Psychiatrie in D._______ geholfen. Seinen damaligen Bekanntenkreis habe er aufgegeben. Seit Beendigung des Strafvollzugs arbeite er Vollzeit, zuerst in der Schweiz und nun in Deutschland. Er sei wirtschaftlich integriert und schuldenfrei. Unter Berücksichtigung der gesamten Umstände könne nicht von einer genügend hohen Rückfallgefahr ausgegangen werden, die die Beschränkung seiner Rechte gemäss Art. 5 Anhang I FZA rechtfertigen würde. Bei den begangenen Delikten der gefährlichen Körperverletzungen handle es sich nach Schweizer Recht um eine einfache Körperverletzung, welche nicht mit einer Landesverweisung bedroht sei. Das Einreiseverbot sei zudem nicht verhältnismässig. Nachdem sein Gesuch um Aufenthaltsbewilligung abgewiesen worden sei, habe er die Schweiz im Oktober 2019 verlassen. Das Migrationsamt habe den Antrag auf Erlass eines Einreiseverbots nur aufgrund des Verfahrens betreffend Aufenthaltsbewilligung gestellt, andernfalls wäre dies gar nie Thema geworden. Das nachträgliche Einreiseverbot rund eineinhalb Jahre danach sei nicht erforderlich und stelle eine rechtsungleiche Behandlung gegenüber anderen vorbestraften ausländischen Personen in der Schweiz dar. Seit sieben Jahren lebe er in einer partnerschaftlichen Beziehung und die Geburt eines gemeinsamen Kindes stehe bevor. Seine Partnerin sei zwar ebenfalls deutsche Staatsbürgerin, verfüge in der Schweiz jedoch über eine Eigentumswohnung und sei in einer Sekundarschule angestellt.</w:t>
      </w:r>
    </w:p>
    <w:p>
      <w:r>
        <w:rPr>
          <w:b/>
        </w:rPr>
        <w:t>E. 8.1</w:t>
      </w:r>
    </w:p>
    <w:p>
      <w:r>
        <w:t>Der Beschwerdeführer wurde in Deutschland zwischen 2005 und 2015 insgesamt neun Mal strafrechtlich verurteilt, unter anderem mehrfach wegen gefährlicher und vorsätzlicher Körperverletzung. Letztmals wurde er vom Amtsgericht B._______ mit Urteil vom 7. Dezember 2015 wegen gefährlicher Körperverletzung in zwei Fällen zu einer Freiheitsstrafe von vier Jahren verurteilt (vgl. Strafregisterauszug vom 20. September 2019). Mit seiner wiederholten Straffälligkeit hat er zweifelsfrei gegen die öffentliche Sicherheit und Ordnung verstossen. Der Fernhaltegrund nach Art. 67 Abs. 2 Bst. a AIG ist somit gesetzt. Nachfolgend ist zu prüfen, ob von ihm eine nach dem FZA vorausgesetzte Rückfallgefahr ausgeht.</w:t>
      </w:r>
    </w:p>
    <w:p>
      <w:r>
        <w:rPr>
          <w:b/>
        </w:rPr>
        <w:t>E. 8.2</w:t>
      </w:r>
    </w:p>
    <w:p>
      <w:r>
        <w:t>Gemäss Bundesgericht sind die Anforderungen, welche an die hinzunehmende Rückfallgefahr zu stellen sind, umso niedriger, je schwerer die möglichen Rechtsgüterverletzungen wiegen (BGE 139 II 121 E. 5.3). Der Beschwerdeführer wurde 2015 wegen gefährlicher Körperverletzung in zwei Fällen zu einer Freiheitsstrafe von vier Jahren verurteilt. Aufgrund der Höhe der Strafe handelt es sich dabei nicht um Bagatelldelikte, und es ist unbeachtlich, ob der Tatbestand der qualifizierten Körperverletzung nach deutschem Recht demjenigen der einfachen oder schweren Körperverletzung nach schweizerischen Recht entspricht. Durch die Verletzung der körperlichen Unversehrtheit hat der Beschwerdeführer auf gravierende Art und Weise die öffentliche Ordnung in einem ganz besonders schützenswerten Bereich verletzt (BGE 139 II 121 E. 6.3). Zu berücksichtigen ist weiter, dass er bereits zuvor mehrmals wegen gefährlicher und/oder vorsätzlicher Körperverletzung verurteilt wurde (vgl. Strafregisterauszug vom 20. September 2019). Nach seiner letzten Verurteilung wurde bis zum 1. September 2022 eine Führungsaufsicht angeordnet und ihm ein Bewährungshelfer bestellt. Der Beschwerdeführer wurde damit nicht einfach aus dem Strafvollzug entlassen, sondern es wurden weitere Massnahmen angeordnet, um einen Rückfall zu verhindern. Erst seit kurzer Zeit steht sein Wohlverhalten nicht mehr unter dem Druck eines Strafverfahrens und einer strafrechtlichen Bewährung, weshalb sich daraus keine verlässlichen Rückschlüsse auf sein künftiges Verhalten ableiten lassen. Er behauptet, alkoholabstinent zu sein, belegt seine diesbezügliche Therapie jedoch nicht. Entgegen seiner Ansicht verübte er insbesondere die letzten Taten nicht in einem jugendlichen Alter; zum Tatzeitpunkt im Jahr 2014 war er bereits 27 Jahre alt. Insgesamt ist nicht von einer günstigen Prognose auszugehen. Aufgrund der Art und Häufigkeit der Straftaten und der damit verbundenen Rechtsgüterverletzungen reicht die Rückfallgefahr aus, um von einer gegenwärtigen, tatsächlichen und hinreichend schweren Gefahr für die öffentliche Sicherheit und Ordnung im Sinne von Art. 5 Abs. 1 Anhang I FZA auszugehen.</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9.2</w:t>
      </w:r>
    </w:p>
    <w:p>
      <w:r>
        <w:t>Vom Beschwerdeführer geht eine rechtserhebliche Gefahr für die öffentliche Sicherheit und Ordnung aus. Er wurde mehrfach straffällig und gefährdete hochwertige Rechtsgüter, weshalb ein erhebliches öffentliches Interesse an seiner Fernhaltung für längere Zeit besteht.</w:t>
      </w:r>
    </w:p>
    <w:p>
      <w:r>
        <w:rPr>
          <w:b/>
        </w:rPr>
        <w:t>E. 9.3</w:t>
      </w:r>
    </w:p>
    <w:p>
      <w:r>
        <w:t>Den öffentlichen Interessen sind die privaten Interessen des Beschwerdeführers gegenüberzustellen. Er führt an, seine langjährige Lebenspartnerin und das gemeinsame Kind würden in der Schweiz, in E._______ leben. Seine Lebenspartnerin sei zwar ebenfalls deutsche Staatsbürgerin, jedoch arbeite sie in der Schweiz in einer Sekundarschule und besitze eine Eigentumswohnung in E._______, weshalb ihr ein Umzug nach Deutschland nicht zumutbar sei. Er selbst lebt in B._______. Die Beziehung zu seiner Lebenspartnerin und zum gemeinsamen Kind fällt in den Anwendungsbereich von Art. 8 Ziff. 1 EMRK und ist allein schon durch das fehlende Aufenthaltsrecht stark begrenzt. Er hat die vorübergehende Einschränkung der Kontaktpflege selbst zu verantworten und in Kauf zu nehmen. Die Gründung der Familie geschah sodann im Wissen um das bestehende Einreiseverbot. Die hier wohnhafte Lebenspartnerin und das gemeinsame Kind können den Beschwerdeführer jederzeit im unmittelbar benachbarten B._______ besuchen. Zusätzlich kann der Kontakt mittels Kommunikationsmitteln gepflegt werden. Ferner besteht die Möglichkeit, das Einreiseverbot zur Wahrnehmung von Besuchen von Familienangehörigen nach einer gewissen Zeit auf begründetes Gesuch hin für eine kurze Zeit suspendieren zu lassen (Art. 67 Abs. 5 AIG). Eine Verletzung von Art. 8 EMRK liegt damit nicht vor.</w:t>
      </w:r>
    </w:p>
    <w:p>
      <w:r>
        <w:rPr>
          <w:b/>
        </w:rPr>
        <w:t>E. 9.4</w:t>
      </w:r>
    </w:p>
    <w:p>
      <w:r>
        <w:t>Zusammenfassend kann festgehalten werden, dass das Interesse des Beschwerdeführers, ungehindert in die Schweiz einreisen zu können, aufgrund seiner familiären Verbindungen nicht unbedeutend ist. Es vermag jedoch das gewichtige öffentliche Interesse am Schutz der öffentlichen Sicherheit vor weiteren Straftaten angesichts der Rückfallgefährdung nicht zu überwiegen. Die Dauer des Einreiseverbots von drei Jahren erweist sich in einer Gesamtbetrachtung und unter Berücksichtigung der Praxis des Bundesverwaltungsgerichts in ähnlichen Fällen als verhältnismässig (vgl. Urteile des BVGer F-6328/2020 vom 29. November 2021 E. 9; F-308/2018 vom 2. März 2020 E. 8.3; F-1476/2018 vom 31. Oktober 2018 E. 7.5).</w:t>
      </w:r>
    </w:p>
    <w:p>
      <w:r>
        <w:rPr>
          <w:b/>
        </w:rPr>
        <w:t>E. 9.5</w:t>
      </w:r>
    </w:p>
    <w:p>
      <w:r>
        <w:t>Schliesslich bestehen keine humanitären oder anderen wichtigen Gründe, welche rechtfertigen könnten, von der Verhängung eines Einreiseverbots ganz abzusehen (Art. 67 Abs. 5 AuG).</w:t>
      </w:r>
    </w:p>
    <w:p>
      <w:r>
        <w:rPr>
          <w:b/>
        </w:rPr>
        <w:t>E. 10</w:t>
      </w:r>
    </w:p>
    <w:p>
      <w:r>
        <w:t>Die angefochtene Verfügung ist als rechtmässig im Sinne von Art. 49 VwVG zu bestätigen. Die Beschwerde ist demnach abzuweisen.</w:t>
      </w:r>
    </w:p>
    <w:p>
      <w:r>
        <w:rPr>
          <w:b/>
        </w:rPr>
        <w:t>E. 11</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