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F-8557/2025 vom 13. November 2025</w:t>
      </w:r>
    </w:p>
    <w:p>
      <w:r>
        <w:t>Bundesverwaltungsgericht, 2025-11-13, FR</w:t>
      </w:r>
    </w:p>
    <w:p>
      <w:r>
        <w:rPr>
          <w:b/>
        </w:rPr>
        <w:t xml:space="preserve">Quelle: </w:t>
      </w:r>
      <w:r>
        <w:t>https://mcp.opencaselaw.ch/entscheid/bvger_F-8557_2025</w:t>
      </w:r>
    </w:p>
    <w:p>
      <w:r>
        <w:t>FR: TAF F-8557/2025 du 13 novembre 2025</w:t>
      </w:r>
    </w:p>
    <w:p>
      <w:r>
        <w:t>IT: TAF F-8557/2025 del 13 novembre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2.1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du règlement Dublin III, une demande de protection internationale est examinée par un seul Etat membre, qui est celui que les critères énoncés au chapitre III de ce règlement désignent comme responsable. 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w:t>
      </w:r>
    </w:p>
    <w:p>
      <w:r>
        <w:rPr>
          <w:b/>
        </w:rPr>
        <w:t>E. 2.3</w:t>
      </w:r>
    </w:p>
    <w:p>
      <w:r>
        <w:t>Eu égard à l'art. 8 par. 4 du règlement Dublin III, aux prescriptions procédurales particulières applicables aux RMNA et à la jurisprudence y relative, il convient de se prononcer préalablement sur la minorité alléguée du recourant.</w:t>
      </w:r>
    </w:p>
    <w:p>
      <w:r>
        <w:rPr>
          <w:b/>
        </w:rPr>
        <w:t>E. 2.4</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Tribunal fédéral [ci-après : TF] 1C_641/2023 du 11 avril 2024 consid. 2.1.2 ; ATAF 2019 I/6 consid. 5.5). Si des indices laissent supposer qu'un requérant prétendument mineur a atteint l'âge de la majorité, une expertise visant à déterminer son âge peut être ordonnée (art. 17 al. 3bis LAsi et art. 7 al. 1 OA 1). Ainsi, si la minorité alléguée ne peut pas être prouvée par pièces, il convient de procéder à une appréciation globale de tous les autres éléments plaidant en faveur et en défaveur de l'âge déclaré (cf. arrêt du TF 1C_641/2023 précité consid. 2.1.2 ; ATAF 2023 VI/4 consid. 6.5 ; 2018 VI/3 consid. 4.2.2). Selon la jurisprudence constante, il incombe au requérant qui entend se prévaloir de sa minorité de la rendre pour le moins vraisemblable, s'il entend en déduire un droit, sous peine d'en supporter les conséquences juridiques (cf. arrêt du TF 1C_641/2023 précité consid. 2.1.2 ; ATAF 2023 VI/4 consid. 6.3).</w:t>
      </w:r>
    </w:p>
    <w:p>
      <w:r>
        <w:rPr>
          <w:b/>
        </w:rPr>
        <w:t>E. 2.5</w:t>
      </w:r>
    </w:p>
    <w:p>
      <w:r>
        <w:t>En l'espèce, le recourant n'a pas fourni de document d'identité susceptible de prouver sa minorité (art. 1a let. c OA 1). En effet, sa tazkera - produite sous forme de copie - n'a qu'une force probante réduite, et non aucune valeur, comme l'a retenu à tort le SEM dans la décision attaquée (arrêt du Tribunal fédéral 1C_240/2012 du 13 août 2021 consid. 5.1 ; ATAF 2013/30 consid. 4.2.2 ; arrêts du Tribunal F-5112/2020 du 16 décembre 2020 consid. 4.5 ; D-4824/2019 du 27 septembre 2019 consid. 8.5). Elle ne peut dès lors constituer qu'un indice quant à l'âge de l'intéressé. En l'absence de preuve formelle, il convient dès lors d'apprécier les autres éléments parlant en faveur, comme en défaveur, de la minorité alléguée par l'intéressé.</w:t>
      </w:r>
    </w:p>
    <w:p>
      <w:r>
        <w:rPr>
          <w:b/>
        </w:rPr>
        <w:t>E. 2.6</w:t>
      </w:r>
    </w:p>
    <w:p>
      <w:r>
        <w:t>S'agissant de l'expertise médico-légale du 3 octobre 2025, qui repose d'une part, sur un examen clinique et radiologique (en l'occurrence des radiographies standards de la dentition et de la main gauche de l'intéressé) et, d'autre part, sur un CT-scanner des articulations sterno-claviculaires, elle a conclu à un âge moyen compris entre 20 et 23 ans, l'âge minimum retenu étant de 17,6 ans. Selon les experts, sans qu'il soit possible d'exclure que le recourant soit âgé de moins de 18 ans, la date de naissance communiquée par ce dernier, soit le 26 septembre 2008, peut être exclue.</w:t>
      </w:r>
    </w:p>
    <w:p>
      <w:r>
        <w:rPr>
          <w:b/>
        </w:rPr>
        <w:t>E. 2.6.1</w:t>
      </w:r>
    </w:p>
    <w:p>
      <w:r>
        <w:t>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Il ressort notamment de ces derniers qu'il y a un indice très fort de la majorité lorsque l'âge minimum est supérieur à 18 ans - tant à la lumière du scanner des clavicules qu'à celle de l'examen du développement dentaire, et un indice fort de majorité lorsque l'âge minimum est supérieur à 18 ans selon le scanner des clavicules ou l'examen du développement dentaire et que les fourchettes d'âge obtenues sur la base des deux analyses se chevauchent. Cela dit, si l'âge minimum est inférieur à 18 ans, l'expertise médico-légale ne permet pas de conclure à la majorité ou à la minorité de la personne concernée. Dans une telle hypothèse, il est possible que la personne soit mineure ou majeure, sans qu'il ne soit envisageable de déterminer avec certitude l'option la plus probable.</w:t>
      </w:r>
    </w:p>
    <w:p>
      <w:r>
        <w:rPr>
          <w:b/>
        </w:rPr>
        <w:t>E. 2.6.2</w:t>
      </w:r>
    </w:p>
    <w:p>
      <w:r>
        <w:t>En l'espèce, l'âge minimum retenu par les experts étant inférieur à 18 ans il est impossible - contrairement à ce qu'affirme l'autorité inférieure - de considérer les résultats de l'expertise comme un indice fort de la majorité du recourant. Le fait que ladite expertise exclut la date de naissance communiquée par l'intéressé n'y change rien, puisque dans la procédure d'asile, la question est de savoir si une personne est mineure ou majeure, et non pas de connaître sa date de naissance exacte (ATAF 2018 VI/3 consid. 4.2.3).</w:t>
      </w:r>
    </w:p>
    <w:p>
      <w:r>
        <w:rPr>
          <w:b/>
        </w:rPr>
        <w:t>E. 2.7</w:t>
      </w:r>
    </w:p>
    <w:p>
      <w:r>
        <w:t>Il reste ainsi à examiner les autres éléments du dossier qui pourraient plaider en faveur ou en défaveur de la majorité de l'intéressé. A cet égard, il sied de relever que les déclarations de ce dernier concernant sa date de naissance manquent de crédibilité. L'intéressé affirme notamment ne connaître sa date de naissance que selon le calendrier grégorien, et non dans son calendrier d'origine, le calendrier shamsi. Les explications qu'il fournit à cet égard ne sont toutefois pas de nature à convaincre le Tribunal. En effet, bien qu'il affirme avoir fréquenté l'école durant trois ans en Afghanistan, il soutient n'y avoir appris que l'alphabet, ce qui paraît peu cohérent. Par ailleurs, l'argument selon lequel il n'aurait appris sa date de naissance que par les autorités turques saurait difficilement être retenu, puisqu'il possédait déjà une tazkera dès l'âge de huit ou neuf ans selon ses propres dires. Quoi qu'il en soit, ayant nécessairement eu connaissance de sa date de naissance au plus tard en 2022, il est incompréhensible qu'il ait fourni une date incorrecte aux autorités belges, ce qui nuit à la crédibilité de ses affirmations (cf., en ce sens, arrêts du TAF F-4857/2024 du 23 août 2024 consid. 4.3.2 et E-2342/2023 du 5 mai 2023 consid. 6.7). A cet égard, contrairement à ce que le recourant fait valoir dans son recours, les autorités belges ont bel et bien indiqué sur quelle base ils avaient retenu la date du 31 août 2006, à savoir ses propres déclarations. Par ailleurs, la justification avancée selon laquelle la date enregistrée par les autorités belges serait le fait d'une erreur de l'interprète ne convainc pas davantage. A cet égard, il convient de constater que l'intéressé n'a, à aucun moment de sa procédure d'asile en Belgique, relevé ni contesté cette prétendue erreur, y compris lorsque les autorités belges ont mis fin à sa tutelle à l'atteinte de sa majorité. Au vu de ces éléments, il y a donc lieu de conclure que le recourant n'est pas parvenu à prouver, ou à tout le moins, rendre vraisemblable, sa minorité.</w:t>
      </w:r>
    </w:p>
    <w:p>
      <w:r>
        <w:rPr>
          <w:b/>
        </w:rPr>
        <w:t>E. 2.8</w:t>
      </w:r>
    </w:p>
    <w:p>
      <w:r>
        <w:t>Sur la base de ce qui précède, le Tribunal constate que le SEM pouvait légitimement considérer que la prétendue minorité du recourant n'avait pas été rendue vraisemblable.</w:t>
      </w:r>
    </w:p>
    <w:p>
      <w:r>
        <w:rPr>
          <w:b/>
        </w:rPr>
        <w:t>E. 3.1</w:t>
      </w:r>
    </w:p>
    <w:p>
      <w:r>
        <w:t>Pour le surplus, le Tribunal constate que le SEM a correctement appliqué les critères de détermination de l'Etat membre responsable au sens des art. 7 ss du règlement Dublin III. La compétence de la Belgique est dès lors établie, ce qui n'est du reste pas contesté.</w:t>
      </w:r>
    </w:p>
    <w:p>
      <w:r>
        <w:rPr>
          <w:b/>
        </w:rPr>
        <w:t>E. 3.2</w:t>
      </w:r>
    </w:p>
    <w:p>
      <w:r>
        <w:t>Par ailleurs, de jurisprudence constante et régulièrement actualisée, il n'y a aucune raison de penser qu'il existe en Belgique des défaillances systémiques au sens de l'art. 3 par. 2 du règlement Dublin III (cf., parmi d'autres, arrêt du TAF F-8051/2024 du 6 janvier 2025 consid. 3.4 et les réf. citées). Partant, le respect par la Belgique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3.3</w:t>
      </w:r>
    </w:p>
    <w:p>
      <w:r>
        <w:t>Si cette présomption peut être renversée par des indices sérieux que, dans le cas concret, les autorités ne respecteraient pas le droit international (cf. arrêt du TAF F-606/2025 du 3 mars 2025 consid. 9.3), force est de constater que le recourant n'a pas amené d'éléments probants permettant de parvenir à une telle conclusion.</w:t>
      </w:r>
    </w:p>
    <w:p>
      <w:r>
        <w:rPr>
          <w:b/>
        </w:rPr>
        <w:t>E. 3.4</w:t>
      </w:r>
    </w:p>
    <w:p>
      <w:r>
        <w:t>Au demeurant, si l'intéressé devait, à l'issue de son transfert en Belgique,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F-2406/2025 du 11 avril 2025 consid. 2.8). Dans ces conditions, l'application de l'art. 3 par. 2 2ème phrase du règlement Dublin III ne se justifie pas.</w:t>
      </w:r>
    </w:p>
    <w:p>
      <w:r>
        <w:rPr>
          <w:b/>
        </w:rPr>
        <w:t>E. 4.1</w:t>
      </w:r>
    </w:p>
    <w:p>
      <w:r>
        <w:t>Enfin, le recourant n'a pas fait valoir de problème médical particulièrement grave. L'état de santé de l'intéressé ne constitue dès lors pas un obstacle à son transfert en Belgique (cf. arrêts de la CourEDH Paposhvili c. Belgique [GC] du 13 décembre 2016, requête n° 41738/10 ; Savran c. Danemark [GC] du 7 décembre 2021, requête n° 57467/15, par. 122 à 139).</w:t>
      </w:r>
    </w:p>
    <w:p>
      <w:r>
        <w:rPr>
          <w:b/>
        </w:rPr>
        <w:t>E. 4.2</w:t>
      </w:r>
    </w:p>
    <w:p>
      <w:r>
        <w:t>Le Tribunal constate ainsi que le SEM a établi, dans la décision entreprise, l'état de fait pertinent de manière complète et exacte et n'a commis ni excès ni abus de son large pouvoir d'appréciation en refusant d'admettre l'existence de raisons humanitaires au sens de l'art. 29a al. 3 OA 1 en combinaison avec l'art. 17 par. 1 du règlement Dublin III (cf. ATAF 2022 I/6 consid. 4.3.3.1).</w:t>
      </w:r>
    </w:p>
    <w:p>
      <w:r>
        <w:rPr>
          <w:b/>
        </w:rPr>
        <w:t>E. 5</w:t>
      </w:r>
    </w:p>
    <w:p>
      <w:r>
        <w:t>La Belgique demeure dès lors l'Etat responsable de l'examen de la demande d'asile du recourant au sens du règlement Dublin III et est tenue de le reprendre en charge.</w:t>
      </w:r>
    </w:p>
    <w:p>
      <w:r>
        <w:rPr>
          <w:b/>
        </w:rPr>
        <w:t>E. 6.1</w:t>
      </w:r>
    </w:p>
    <w:p>
      <w:r>
        <w:t>Dans ces conditions, c'est à bon droit que l'autorité inférieure n'est pas entrée en matière sur la demande d'asile de l'intéressé, en application de l'art. 31a al. 1 let. b LAsi, et a prononcé son transfert vers la Belgique, en application de l'art. 44 1ère phrase LAsi, aucune exception à la règle générale du renvoi n'étant réalisée (art. 32 OA 1). Par conséquent, le recours doit être rejeté.</w:t>
      </w:r>
    </w:p>
    <w:p>
      <w:r>
        <w:rPr>
          <w:b/>
        </w:rPr>
        <w:t>E. 6.2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7.1</w:t>
      </w:r>
    </w:p>
    <w:p>
      <w:r>
        <w:t>Dans la mesure où il a été immédiatement statué sur le fond, la requête formulée dans le recours tendant à l'octroi de l'effet suspensif est sans objet.</w:t>
      </w:r>
    </w:p>
    <w:p>
      <w:r>
        <w:rPr>
          <w:b/>
        </w:rPr>
        <w:t>E. 7.2</w:t>
      </w:r>
    </w:p>
    <w:p>
      <w:r>
        <w:t>Les conclusions du recours étant d'emblée vouées à l'échec, la demande d'assistance judiciaire partielle est rejetée (art. 65 al. 1 PA et 102m al. 1 LAsi).</w:t>
      </w:r>
    </w:p>
    <w:p>
      <w:r>
        <w:rPr>
          <w:b/>
        </w:rPr>
        <w:t>E. 7.3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