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F-854/2025 vom 13. Februar 2025</w:t>
      </w:r>
    </w:p>
    <w:p>
      <w:r>
        <w:t>Bundesverwaltungsgericht, 2025-02-13, DE</w:t>
      </w:r>
    </w:p>
    <w:p>
      <w:r>
        <w:rPr>
          <w:b/>
        </w:rPr>
        <w:t xml:space="preserve">Quelle: </w:t>
      </w:r>
      <w:r>
        <w:t>https://mcp.opencaselaw.ch/entscheid/bvger_F-854_2025</w:t>
      </w:r>
    </w:p>
    <w:p>
      <w:r>
        <w:t>FR: TAF F-854/2025 du 13 février 2025</w:t>
      </w:r>
    </w:p>
    <w:p>
      <w:r>
        <w:t>IT: TAF F-854/2025 del 13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Auf Asylgesuche wird in der Regel nicht eingetreten, wenn Asylsuchende in einen Drittstaat ausreisen können, der für die Durchführung des Asyl- und Wegweisungsverfahrens staatsvertraglich zuständig ist (Art. 31a Abs. 1 Bst. b AsylG). Dies betrifft insbesondere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w:t>
      </w:r>
    </w:p>
    <w:p>
      <w:r>
        <w:rPr>
          <w:b/>
        </w:rPr>
        <w:t>E. 5</w:t>
      </w:r>
    </w:p>
    <w:p>
      <w:r>
        <w:t>Die Vorinstanz hat zutreffend erwogen, dass nach Art. 13 Abs. 1 Dublin-III-VO grundsätzlich Spanien, dessen Seegrenze der Beschwerdeführer illegal überschritten hat, für die Behandlung seines Asylgesuchs zuständig ist. Die spanischen Behörden haben der Übernahme des Beschwerdeführers gestützt auf diese Rechtsbestimmung auch zugestimmt (vgl. SEM-act. 16/1). Im Weiteren hat die Vorinstanz richtigerweise ausgeführt, dass das spanische Asylsystem rechtsprechungsgemäss keine systemischen Mängel aufweist, aufgrund derer die Zuständigkeit gemäss Art. 3 Abs. 2 Dublin-III-VO auf die Schweiz überginge. Die diesbezüglichen Ausführungen des Beschwerdeführers in seiner Beschwerdeschrift, wonach er durch spanische Grenzbeamte gewaltsam behandelt worden sei, vermögen diese Einschätzung nicht zu ändern. Die Vorinstanz hat ferner auch treffend festgehalten, dass keine völkerrechtlichen Vollzugshindernisse ersichtlich sind, welche die Schweiz zu einem Selbsteintritt nach Art. 17 Abs. 1 Dublin-III-VO verpflichten würden, zumal er keine Gesundheitsprobleme nachweist.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Spanien angeordnet. Zur näheren Begründung wird auf die Erwägungen der Vorinstanz verwiesen.</w:t>
      </w:r>
    </w:p>
    <w:p>
      <w:r>
        <w:rPr>
          <w:b/>
        </w:rPr>
        <w:t>E. 6</w:t>
      </w:r>
    </w:p>
    <w:p>
      <w:r>
        <w:t>Nach dem Gesagten ist die angefochtene Verfügung vom 5. Februar 2025 nicht zu beanstanden und die Beschwerde ist abzuweisen.</w:t>
      </w:r>
    </w:p>
    <w:p>
      <w:r>
        <w:rPr>
          <w:b/>
        </w:rPr>
        <w:t>E. 7</w:t>
      </w:r>
    </w:p>
    <w:p>
      <w:r>
        <w:t>Mit vorliegendem Urteil fällt der am 11. Februar 2025 angeordnete Vollzugsstopp dahin und der Antrag auf Erteilung der aufschiebenden Wirkung wird gegenstandslos.</w:t>
      </w:r>
    </w:p>
    <w:p>
      <w:r>
        <w:rPr>
          <w:b/>
        </w:rPr>
        <w:t>E. 8</w:t>
      </w:r>
    </w:p>
    <w:p>
      <w:r>
        <w:t>Die Begehren erweisen sich als aussichtslos, weshalb das Gesuch um unentgeltliche Rechtspflege samt Verzicht auf Erhebung eines Kostenvorschusses abzuweisen ist (Art. 65 Abs. 1 und 2 VwVG). Ausgansgemäss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