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F-854/2021 vom 5. Juli 2023</w:t>
      </w:r>
    </w:p>
    <w:p>
      <w:r>
        <w:t>Bundesverwaltungsgericht, 2023-07-05, IT</w:t>
      </w:r>
    </w:p>
    <w:p>
      <w:r>
        <w:rPr>
          <w:b/>
        </w:rPr>
        <w:t xml:space="preserve">Quelle: </w:t>
      </w:r>
      <w:r>
        <w:t>https://mcp.opencaselaw.ch/entscheid/bvger_F-854_2021</w:t>
      </w:r>
    </w:p>
    <w:p>
      <w:r>
        <w:t>FR: TAF F-854/2021 du 5 juillet 2023</w:t>
      </w:r>
    </w:p>
    <w:p>
      <w:r>
        <w:t>IT: TAF F-854/2021 del 5 luglio 2023</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La SEM fa parte delle dette autorità (art. 33 lett. d LTAF) e il divieto d'entrata del 5 gennaio 2021, che non rientra peraltro nell'elenco dell'art. 32 LTAF, costituisce una decisione ai sensi dell'art. 5 cpv. 1 PA, dimodoché questo Tribunale è competente a giudicare il presente ricorso. Dato che la procedura verte su una decisione in materia di diritto degli stranieri concernente l'entrata in Svizzera di una persona che non è un cittadino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5 gennaio 2021, con la quale la SEM ha pronunciato un divieto d'entrata in Svizzera e nel Liechtenstein di tre anni (5.1.2021 - 4.1.2024), segnalandolo nel SIS II, contro il ricorrente.</w:t>
      </w:r>
    </w:p>
    <w:p>
      <w:r>
        <w:rPr>
          <w:b/>
        </w:rPr>
        <w:t>E. 4.1</w:t>
      </w:r>
    </w:p>
    <w:p>
      <w:r>
        <w:t>In generale, la procedura relativa all'entrata in Svizzera e alla partenza dalla Svizzera è retta dalla legge federale sugli stranieri del 16 dicembre 2005 ([LStr]; dal 1° gennaio 2019, in seguito a modifiche materiali che non influiscono tuttavia sulla trattazione del presente ricorso, la LStr [RU 2018 3171] è denominata legge federale sugli stranieri e la loro integrazione [LStrI, RS 142.20], designazione qui adottata), nonché dall'ordinanza sull'ammissione, il soggiorno e l'attività lucrativa del 24 ottobre 2007 ([OASA, RS 142.201], pure modificata con effetto dal 1° gennaio 2019: in particolare, l'art. 80 OASA [violazione della sicurezza e dell'ordine pubblici] è stato abrogato [cfr. RU 2018 3173]), e dall'ordinanza concernente l'entrata e il rilascio del visto del 15 agosto 2018 (OEV, RS 142.204).</w:t>
      </w:r>
    </w:p>
    <w:p>
      <w:r>
        <w:rPr>
          <w:b/>
        </w:rPr>
        <w:t>E. 4.2</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all'OASA e all'OEV (cfr. artt. 2 cpv. 4 LStrl, 1 cpv. 1 OASA, 1 cpv. 2 OEV e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4.3</w:t>
      </w:r>
    </w:p>
    <w:p>
      <w:r>
        <w:t>L'art. 3 cpv. 1 OEV specifica che le condizioni d'entrata per soggiorni di breve durata (fino a 90 giorni) sono rette dall'art. 6 del codice frontiere Schengen. Per soggiorni previsti nel territorio degli Stati membri, la cui durata non sia superiore a 90 giorni su un periodo di 180 giorni, il che comporta di prendere in considerazione il periodo di 180 giorni che precede ogni giorno di soggiorno, le condizioni d'ingresso per i cittadini di paesi terzi ai sensi dell'art. 6 par. 1 del codice frontiere Schengen, le quali corrispondono, sostanzialmente, a quelle previste all'art. 5 cpv. 1 LStrI, sono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 II ai fini della non ammissione; (e) non essere considerati come una minaccia per l'ordine pubblico, la sicurezza interna, la salute pubblica o le relazioni internazionali di uno degli Stati membri. La data d'ingresso è considerata come il primo giorno di soggiorno sul territorio degli Stati membri e la data d'uscita è considerata come l'ultimo giorno di soggiorno sul territorio degli Stati membri (art. 6 par. 2 del codice frontiere Schengen). Queste date risultano dai timbri apposti dalle autorità frontaliere dello Stato membro interessato (cfr. https://ec.europa.eu/home-affairs/content/visa-calculator_en).</w:t>
      </w:r>
    </w:p>
    <w:p>
      <w:r>
        <w:rPr>
          <w:b/>
        </w:rPr>
        <w:t>E. 5</w:t>
      </w:r>
    </w:p>
    <w:p>
      <w:r>
        <w:t>In concreto, il ricorrente è un cittadino ivoriano munito di un visto Schengen, valido dal 29 novembre 2019 al 28 novembre 2021, grazie a quale è entrato in Francia il 26 dicembre 2019. Da allora egli non è più uscito dallo spazio Schengen. Cosi, prendendo come primo giorno di soggiorno il 26 dicembre 2019 (data d'ingresso), il ricorrente, quando è stato controllato dalle guardie di frontiera il 24 dicembre 2020, era rimasto ininterrottamente nello spazio Schengen per 365 giorni, un periodo ben superiore ai 90 giorni ammissibili. Risultando in un "overstay" di 275 giorni. Va notato che, il ricorrente è stato condannato dal Ministero Pubblico del Cantone di B.______ con un decreto penale del 29 gennaio 2021 per entrata e soggiorno illegali entro il 10 marzo 2020 (data di scadenza del suo visto Schengen) e il 24 dicembre 2020. Conseguentemente, è accertato che il ricorrente ha violato la normativa Schengen. Per quanto riguarda l'argomentazione del ricorrente, secondo cui avrebbe presentato una domanda d'asilo in Svizzera il 28 dicembre 2020, e quindi sarebbe stato legalmente presente in Svizzera a partire da tale data, va notato che soggiornava illegalmente nello spazio Schengen già dal 25 marzo 2019 (90 giorni dopo la sua entrata in Francia il 26 dicembre 2019). Conseguentemente, è accertato che il ricorrente ha violato la normativa Schengen.</w:t>
      </w:r>
    </w:p>
    <w:p>
      <w:r>
        <w:rPr>
          <w:b/>
        </w:rPr>
        <w:t>E. 6</w:t>
      </w:r>
    </w:p>
    <w:p>
      <w:r>
        <w:t>Si tratta così di verificare se il divieto d'entrata pronunciato dalla SEM sia conforme ai requisiti di legge (legalità e proporzionalità).</w:t>
      </w:r>
    </w:p>
    <w:p>
      <w:r>
        <w:rPr>
          <w:b/>
        </w:rPr>
        <w:t>E. 7.1</w:t>
      </w:r>
    </w:p>
    <w:p>
      <w:r>
        <w:t>La SEM può vietare l'entrata in Svizzera allo straniero che ha violato o espone a pericolo l'ordine e la sicurezza pubblici in Svizzera o all'estero (art. 67 cpv. 2 lett. a LStrI [nella sua versione in vigore fino al 21 novembre 2022; RU 2010 5925]).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5925)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 Il divieto d'entrata è pronunciato per una durata massima di cinque anni; può essere pronunciato per una durata più lunga se l'interessato costituisce un grave pericolo per l'ordine e la sicurezza pubblici (art. 67 cpv. 3 LStrI).</w:t>
      </w:r>
    </w:p>
    <w:p>
      <w:r>
        <w:rPr>
          <w:b/>
        </w:rPr>
        <w:t>E. 7.2</w:t>
      </w:r>
    </w:p>
    <w:p>
      <w:r>
        <w:t>In concreto, il ricorrente ha manifestamente disatteso la normativa Schengen, incorrendo in un "overstay" (cfr. consid. 5). Pertanto, l'emanazione di un divieto d'entrata è conforme al diritto federale. Questo implica che la SEM non aveva, in definitiva, l'opzione di pronunciare, al posto del divieto d'entrata un avvertimento come misura meno pregiudizievole per gli interessi, qualunque essi siano, del ricorrente (cfr. art. 96 cpv. 2 LStrI).</w:t>
      </w:r>
    </w:p>
    <w:p>
      <w:r>
        <w:rPr>
          <w:b/>
        </w:rPr>
        <w:t>E. 8.1</w:t>
      </w:r>
    </w:p>
    <w:p>
      <w:r>
        <w:t>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8.2</w:t>
      </w:r>
    </w:p>
    <w:p>
      <w:r>
        <w:t>Riguardo alla durata del divieto d'entrata, il caso in esame non presenta alcuna peculiarità tale da legittimare, sotto il profilo della proporzionalità, una riduzione. Nel caso di specie, alla luce del comportamento del ricorrente, il divieto d'entrata nei suoi confronti è atto e necessario per evitare che metta nuovamente in pericolo l'ordine e la sicurezza pubblici. Peraltro, anche se l'interesse privato del ricorrente consistesse nella continuazione della sua attività lavorativa in Svizzera, va rilevato che si trattava di una attività lucrativa svolta senza autorizzazione e che l'interesse del ricorrente non è quindi meritevole di tutela. Visto questo, una durata di tre anni rispecchia le esigenze del principio di proporzionalità.</w:t>
      </w:r>
    </w:p>
    <w:p>
      <w:r>
        <w:rPr>
          <w:b/>
        </w:rPr>
        <w:t>E. 9</w:t>
      </w:r>
    </w:p>
    <w:p>
      <w:r>
        <w:t>In conclusione, il divieto d'entrata di tre anni è conforme al diritto e proporzionato, dimodoché, sotto questo aspetto, il ricorso va respinto.</w:t>
      </w:r>
    </w:p>
    <w:p>
      <w:r>
        <w:rPr>
          <w:b/>
        </w:rPr>
        <w:t>E. 10</w:t>
      </w:r>
    </w:p>
    <w:p>
      <w:r>
        <w:t>Rimane da verificare se l'inserimento della segnalazione del divieto d'entrata nel SIS II sia giustificata.</w:t>
      </w:r>
    </w:p>
    <w:p>
      <w:r>
        <w:rPr>
          <w:b/>
        </w:rPr>
        <w:t>E. 10.1</w:t>
      </w:r>
    </w:p>
    <w:p>
      <w:r>
        <w:t>L'inserimento della segnalazione del divieto d'entrata nel SIS II è retto dal regolamento (CE) n. 1987/2006 del Parlamento europeo e del Consiglio del 20 dicembre 2006 sull'istituzione, l'esercizio e l'uso del sistema d'informazione Schengen di seconda generazione (regolamento SIS II; GU L 381/4 del 28 dicembre 2006), abrogato da: (UE) 2018/1861 del Parlamento europeo e del Consiglio del 28 novembre 2018 sull'istituzione, l'esercizio e l'uso del sistema Schengen (SIS) nel settore delle verifiche di frontiera, che modifica a convenzione di applicazione dell'accordo di Schengen e abroga il regolamento (CE) n. 1987/2006; cfr. al riguardo art. 65 e art. 21 della Ordinanza N-SIS 2013 [RS 362.0]). Una segnalazione di un cittadino di un paese terzo è inserita nel SIS II quando la decisione presa dalle autorità amministrative o giudiziarie competenti secondo le norme procedurali stabilite dalla legislazione nazionale, è fondata su una minaccia per l'ordine pubblico, la sicurezza pubblica o la sicurezza nazionale che la presenza del cittadino in questione può costituire nel territorio di uno Stato membro (art. 3 lett. d e 24 §§ 1 e 2 del regolamento SIS II). Una segnalazione è inserita nel SIS II, in particolare, se il cittadino di un paese terzo è stato riconosciuto colpevole in uno Stato membro di un reato che comporta una pena detentiva di almeno un anno, oppure se nei confronti del detto cittadino esistono fondati motivi per ritenere che abbia commesso un reato grave o se esistono indizi concreti sull'intenzione di commettere un tale reato nel territorio di uno Stato membro (art. 24 § 2 lett. a e b del regolamento SIS II). Prima di effettuare una segnalazione lo Stato membro verifica se l'adeguatezza, la pertinenza e l'importanza del caso giustificano l'inserimento della segnalazione nel SIS II (proporzionalità: art. 21 del regolamento SIS II).</w:t>
      </w:r>
    </w:p>
    <w:p>
      <w:r>
        <w:rPr>
          <w:b/>
        </w:rPr>
        <w:t>E. 10.2</w:t>
      </w:r>
    </w:p>
    <w:p>
      <w:r>
        <w:t>In concreto, il divieto d'entrata impugnato è fondato su una violazione dell'ordine e della sicurezza pubblici svizzeri, che il ricorrente ha commesso entrando illegalmente in Svizzera, il 24 dicembre 2020, quando si trovava nello spazio Schengen in una situazione di "overstay". Pertanto, l'inserimento della segnalazione del divieto d'entrata nel SIS II in sé è giustificata.</w:t>
      </w:r>
    </w:p>
    <w:p>
      <w:r>
        <w:rPr>
          <w:b/>
        </w:rPr>
        <w:t>E. 10.3</w:t>
      </w:r>
    </w:p>
    <w:p>
      <w:r>
        <w:t>Anche la durata della segnalazione di tre anni è appropriata, considerando le osservazioni precedenti (consid. 8). Si aggiunge che la segnalazione è tanto più legittima se si considera che la Svizzera, in quanto membro dello spazio Schengen, funge anche da garante degli interessi degli altri Stati membri (cfr. DTAF 2011/48 consid. 6.1).</w:t>
      </w:r>
    </w:p>
    <w:p>
      <w:r>
        <w:rPr>
          <w:b/>
        </w:rPr>
        <w:t>E. 11</w:t>
      </w:r>
    </w:p>
    <w:p>
      <w:r>
        <w:t>Di conseguenza, pronunciando un divieto d'entrata di tre anni, la SEM non ha incorso una violazione del diritto applicabile, compreso il principio di proporzionalità nell'esercizio del suo potere d'apprezzamento (art. 49 lett. a PA). Stando così le cose, in accordo con le considerazioni sopraesposte, il ricorso deve essere respinto, e la decisione impugnata confermata. La richiesta di concessione dell'effetto sospensivo diventa senza oggetto con la pronuncia della presente sentenza.</w:t>
      </w:r>
    </w:p>
    <w:p>
      <w:r>
        <w:rPr>
          <w:b/>
        </w:rPr>
        <w:t>E. 12</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1'000. - sono poste a carico del ricorrente e prelevate sull'anticipo, dello stesso importo, da lui già versato. Per la medesima ragione al ricorrente non sono assegnate indennità per spese ripetibili (art. 64 cpv. 1 PA e art.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