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F-8406/2015 vom 20. März 2017</w:t>
      </w:r>
    </w:p>
    <w:p>
      <w:r>
        <w:t>Bundesverwaltungsgericht, 2017-03-20, IT</w:t>
      </w:r>
    </w:p>
    <w:p>
      <w:r>
        <w:rPr>
          <w:b/>
        </w:rPr>
        <w:t xml:space="preserve">Quelle: </w:t>
      </w:r>
      <w:r>
        <w:t>https://mcp.opencaselaw.ch/entscheid/bvger_F-8406_2015</w:t>
      </w:r>
    </w:p>
    <w:p>
      <w:r>
        <w:t>FR: TAF F-8406/2015 du 20 mars 2017</w:t>
      </w:r>
    </w:p>
    <w:p>
      <w:r>
        <w:t>IT: TAF F-8406/2015 del 20 marzo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Ai termini dell'art. 2 cpv. 3 LStr ai cittadini degli Stati membri della Comunità europea ed ai loro familiari si applica l'ALC (RS 0.142.112.681); la LStr si applica solamente qualora l'ALC non contenga disposizioni derogatorie o qualora la LStr preveda disposizioni più favorevoli.</w:t>
      </w:r>
    </w:p>
    <w:p>
      <w:r>
        <w:rPr>
          <w:b/>
        </w:rPr>
        <w:t>E. 3.2</w:t>
      </w:r>
    </w:p>
    <w:p>
      <w:r>
        <w:t>Giusta l'art. 3 par. 1 e 2 allegato I ALC i membri della famiglia di un cittadino di una parte contraente avente un diritto di soggiorno hanno diritto di stabilirsi con esso. Sono considerati membri della famiglia, qualunque sia la loro cittadinanza, il coniuge ed i loro discendenti minori di 21 anni o a carico. Inoltre ai sensi dell'art. 1 par. 1 allegato I ALC (in relazione con l'art. 3 ALC) i cittadini comunitari ed i membri della loro famiglia sono ammessi nel territorio degli Stati membri dietro semplice presentazione di una carta d'identità o di un passaporto validi.</w:t>
      </w:r>
    </w:p>
    <w:p>
      <w:r>
        <w:rPr>
          <w:b/>
        </w:rPr>
        <w:t>E. 3.3</w:t>
      </w:r>
    </w:p>
    <w:p>
      <w:r>
        <w:t>Nel caso concreto, A._______ potrebbe in principio prevalersi di un diritto derivato ai sensi dell'ALC, essendo sua moglie cittadina elvetica e spagnola, essendo il primogenito cittadino svizzero ed il secondogenito di nazionalità italiana. Nondimeno, è opinione dello scrivente Tribunale che la questione dell'eventuale diritto derivato del ricorrente può rimanere aperta, in quanto dagli atti all'inserto non risulta che i diritti originari dei citati familiari del ricorrente siano esercitati. Agli atti risulta al contrario che i figli siano residenti in Ticino, così come la moglie, la quale durante il procedimento penale conclusosi con la condanna di A._______ del 25 giugno 2015 ha unicamente espresso l'auspicio di trasferirsi in Spagna con quest'ultimo (cfr. sentenza della Corte delle assise criminali del 25 giugno 2015 allegata all'incarto Simic, pag. 10).</w:t>
      </w:r>
    </w:p>
    <w:p>
      <w:r>
        <w:rPr>
          <w:b/>
        </w:rPr>
        <w:t>E. 4.1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4.2</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 come nella fattispecie - quando essa è stata condannata in uno Stato membro per un'infrazione punibile con una pena privativa della libertà superiore ad un anno (cfr. art. 24 par. 2 lett. a regolamento SIS II).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con validità territoriale limitata (art. 25 par. 1 lett. a [ii] del regolamento [CE] n° 810/2009 del Parlamento europeo e del Consiglio del 13 luglio 2009 che istituisce un codice comunitario dei visti [Codice dei visti, GU L 23 del 15 settembre 2009, pagg. 1 a 58]).</w:t>
      </w:r>
    </w:p>
    <w:p>
      <w:r>
        <w:rPr>
          <w:b/>
        </w:rPr>
        <w:t>E. 4.3</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4.4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4.5</w:t>
      </w:r>
    </w:p>
    <w:p>
      <w:r>
        <w:t>In virtù del messaggio LStr precitato (FF 2002 3327, pag. 3428) l'emanazione di un divieto d'entrata non deve essere interpretato quale sanzione dal carattere penale, bensì quale misura di protezione di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5</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6.1</w:t>
      </w:r>
    </w:p>
    <w:p>
      <w:r>
        <w:t>Nella fattispecie in disanima, la SEM ha pronunciato nei confronti di A._______ una decisione di divieto d'entrata in Svizzera e nel Liechtenstein della durata di 10 anni, ossia fino al 23 novembre 2024. L'autorità inferiore ha considerato che con il suo comportamento l'interessato ha gravemente violato e messo in pericolo l'ordine e la sicurezza pubblici, vista la condanna pronunciata il 15 settembre 2011 dalla Corte delle assise criminali ad una pena detentiva di due anni e nove mesi per riciclaggio di denaro, infrazione aggravata e contravvenzione alla LStup ed in ragione del successivo decreto d'accusa emanato in data 15 aprile 2013 per guida in stato di inattitudine.</w:t>
      </w:r>
    </w:p>
    <w:p>
      <w:r>
        <w:rPr>
          <w:b/>
        </w:rPr>
        <w:t>E. 6.2</w:t>
      </w:r>
    </w:p>
    <w:p>
      <w:r>
        <w:t>I fatti che hanno portato alla condanna del 15 settembre 2011 vertevano su un importante traffico di sostanze stupefacenti. Nel periodo compreso tra marzo e novembre 2010 A._______ ha infatti venduto a terzi un quantitativo pari a 657 grammi di cocaina, oltre ad avere posseduto per il proprio consumo personale 4 grammi di marijuana e compiuto atti costitutivi di riciclaggio per un valore di fr. 15'000.-, provento di infrazione aggravata alla LStup.</w:t>
      </w:r>
    </w:p>
    <w:p>
      <w:r>
        <w:rPr>
          <w:b/>
        </w:rPr>
        <w:t>E. 6.3</w:t>
      </w:r>
    </w:p>
    <w:p>
      <w:r>
        <w:t>Occorre inoltre tenere in considerazione che dopo la scarcerazione condizionale avvenuta l'8 ottobre 2012 il ricorrente si è nuovamente macchiato di gravi atti contrari alla LStup. Risulta infatti dalla sentenza della Corte delle assise criminali del 25 giugno 2015 che A._______, appena ritornato in libertà, e meglio tra 21 settembre 2012 ed il 13 agosto 2014 ha alienato a terze persone un quantitativo di 153,1 grammi di cocaina. Oltre a ciò egli ha soggiornato illegalmente in Svizzera nel periodo compreso fra il giugno 2014 ed il 13 agosto 2014, dato che come si è visto il suo permesso di dimora non era stato rinnovato.</w:t>
      </w:r>
    </w:p>
    <w:p>
      <w:r>
        <w:rPr>
          <w:b/>
        </w:rPr>
        <w:t>E. 6.4</w:t>
      </w:r>
    </w:p>
    <w:p>
      <w:r>
        <w:t>Ne discende che i comportamenti sopra esposti, sanzionati da specifiche norme del diritto penale, possono portare all'emissione di un divieto d'entrata poiché costituendo indubbiamente una violazione e mettendo in pericolo l'ordine e la sicurezza pubblici, adempiono ai requisiti dell'art. 67 cpv. 2 lett. a LStr. L'argomentazione del ricorrente secondo cui malgrado le condanne inflitte egli non rappresenta un tale pericolo deve dunque essere respinta.</w:t>
      </w:r>
    </w:p>
    <w:p>
      <w:r>
        <w:rPr>
          <w:b/>
        </w:rPr>
        <w:t>E. 7.1</w:t>
      </w:r>
    </w:p>
    <w:p>
      <w:r>
        <w:t>Come testé rilevato il divieto d'entrata in Svizzera è di regola pronunciato per una durata massima di cinque anni. Giusta l'art. 67 cpv. 2 lett. a LStr è possibile emanare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7.2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pagg. 98 a 107; Messaggio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rappresenti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7.3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et al., op. cit., ad art. 67 LStr, n. marg. 5, pag. 271; Andrea Binder Oser, in Caroni/Gächter/Thurnherr, Bundesgesetz über die Ausländerinnen und Ausländer [AuG], 2010, ad art. 67 LStr, n. marg. 24, pag. 689).</w:t>
      </w:r>
    </w:p>
    <w:p>
      <w:r>
        <w:rPr>
          <w:b/>
        </w:rPr>
        <w:t>E. 8.1</w:t>
      </w:r>
    </w:p>
    <w:p>
      <w:r>
        <w:t>Dato che l'autorità inferiore ha pronunciato un divieto d'entrata di durata superiore a cinque anni, va qui di seguito esaminato, prima di procedere ad una ponderazione degli interessi in gioco, se è soddisfatto il criterio della minaccia grave giusta l'art. 67 cpv. 3 2a frase LStr.</w:t>
      </w:r>
    </w:p>
    <w:p>
      <w:r>
        <w:rPr>
          <w:b/>
        </w:rPr>
        <w:t>E. 8.2</w:t>
      </w:r>
    </w:p>
    <w:p>
      <w:r>
        <w:t>Come precedentemente rilevato, nel 2010 e sull'arco di più mesi, A._______ si è prodigato a vendere un quantitativo di cocaina pari a 657 grammi ed a riciclare fr. 15'000.-; una volta scarcerato egli ha ripreso la sua attività delittuosa nell'ambito del traffico di stupefacenti, rendendosi responsabile di un traffico di ulteriori 153,1 grammi di cocaina fra il 21 settembre 2012 ed il 13 agosto 2014. Va altresì segnalato che il ricorrente ha soggiornato illegalmente in Svizzera per un periodo di più di due mesi a seguito del non rinnovo del permesso di dimora da parte delle autorità migratorie ticinesi. Infine il 15 aprile 2013 nei suoi confronti è stato emanato un decreto d'accusa per avere guidato in data 9 gennaio 2013 un autoveicolo in stato di inattitudine, con una concentrazione qualificata di alcol.</w:t>
      </w:r>
    </w:p>
    <w:p>
      <w:r>
        <w:rPr>
          <w:b/>
        </w:rPr>
        <w:t>E. 8.3</w:t>
      </w:r>
    </w:p>
    <w:p>
      <w:r>
        <w:t>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della sicurezza e dell'ordine pubblici (cfr. sentenza del TF 2C_139/2013 dell'11 giugno 2013 consid. 6.2.3 e riferimenti ivi citati). Il Tribunale considera che il fatto che il ricorrente sia stato condannato in due occasioni a lunghe pene detentive per infrazioni alla legislazione in materia di sostanze stupefacenti non può che indurre a pensare che egli non sia un attore secondario nell'ambito del traffico di droga, a maggiore ragione visto che il primo soggiorno in carcere non gli ha impedito di ricominciare a delinquere non appena tornato in libertà e dato che egli si è altresì impegnato nell'attività di riciclaggio dei proventi da infrazioni aggravate alla LStup. Occorre dunque ritenere alto il rischio di recidiva e respingere l'argomentazione secondo cui la prognosi rispetto ai suoi comportamenti debba essere giudicata positivamente (cfr. atto di replica dell'8 luglio 2016, atto 11 dell'incarto TAF, pag. 3) in quanto, dopo la liberazione condizionale avvenuta in data 8 ottobre 2012 a seguito della prima condanna, e dopo avere fatto rientro nella Repubblica Dominicana, A._______ è ritornato in Svizzera ricominciando a delinquere.</w:t>
      </w:r>
    </w:p>
    <w:p>
      <w:r>
        <w:rPr>
          <w:b/>
        </w:rPr>
        <w:t>E. 8.4</w:t>
      </w:r>
    </w:p>
    <w:p>
      <w:r>
        <w:t>Alla luce di questi elementi, il Tribunale ritiene che la condotta dell'interessato costituisce un grave pericolo per l'ordine e la sicurezza pubblici, ragione per cui è giustificata l'emanazione di un divieto d'entrata per una durata superiore a cinque anni conformemente all'art. 67 cpv. 3 2a frase LStr.</w:t>
      </w:r>
    </w:p>
    <w:p>
      <w:r>
        <w:rPr>
          <w:b/>
        </w:rPr>
        <w:t>E. 9.1</w:t>
      </w:r>
    </w:p>
    <w:p>
      <w:r>
        <w:t>A fronte di quanto esposto resta ora da stabilire se la durata della misura di allontanamento adottata sia conforme al principio di proporzionalità e, procedendo ad un apprezzamento degli interessi privati e pubblici in gioco, valutare se sia adeguata alle circostanze del caso di specie.</w:t>
      </w:r>
    </w:p>
    <w:p>
      <w:r>
        <w:rPr>
          <w:b/>
        </w:rPr>
        <w:t>E. 9.2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9.3</w:t>
      </w:r>
    </w:p>
    <w:p>
      <w:r>
        <w:t>Quo all'interesse pubblico all'allontanamento del ricorrente dal territorio elvetico, si è già detto ai considerandi precedenti.</w:t>
      </w:r>
    </w:p>
    <w:p>
      <w:r>
        <w:rPr>
          <w:b/>
        </w:rPr>
        <w:t>E. 9.4</w:t>
      </w:r>
    </w:p>
    <w:p>
      <w:r>
        <w:t>In merito agli interessi privati, il ricorrente si è richiamato principalmente all'art. 8 CEDU, il quale garantisce il diritto al rispetto della vita privata e familiare, sottolineando che la decisione dell'autorità inferiore comporterebbe l'impossibilità di intrattenere i rapporti con la moglie e con i due figli, tutti residenti in Svizzera.</w:t>
      </w:r>
    </w:p>
    <w:p>
      <w:r>
        <w:rPr>
          <w:b/>
        </w:rPr>
        <w:t>E. 9.5</w:t>
      </w:r>
    </w:p>
    <w:p>
      <w:r>
        <w:t>L'art. 8 CEDU tutela la vita privata e familiare delle persone. Questa disposizione non garantisce tuttavia il diritto di entrare in un determinato Stato (cfr. in questo senso segnatamente DTF 140 I 145 consid. 3.1; 139 I 330 consid. 2.1 e riferimenti ivi citati).</w:t>
      </w:r>
    </w:p>
    <w:p>
      <w:r>
        <w:rPr>
          <w:b/>
        </w:rPr>
        <w:t>E. 9.6</w:t>
      </w:r>
    </w:p>
    <w:p>
      <w:r>
        <w:t>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9.7</w:t>
      </w:r>
    </w:p>
    <w:p>
      <w:r>
        <w:t>La protezione del diritto al rispetto della vita privata e familiare conferita da questa norma convenzionale non ha però valenza assoluta, poiché ai sensi dell'art. 8 cpv. 2 CEDU, un'ingerenza delle autorità rimane possibile quando è prevista dalla legge ed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9.8</w:t>
      </w:r>
    </w:p>
    <w:p>
      <w:r>
        <w:t>Nel caso concreto A._______ ha contestato l'argomentazione dell'autorità inferiore secondo cui i legami con la moglie e con i figli non raggiungerebbero un grado d'intensità sufficiente ai sensi dell'art. 8 CEDU. Al contrario ha sostenuto che il primogenito D._______, nato il (...), sia sempre stato molto legato al padre, tanto che l'allontanamento di quest'ultimo ha aggravato la salute psicofisica del minore, affetto da un'infermità congenita che lo costringe a frequentare la scuola speciale e per la quale necessita di essere seguito da uno psicologo. In merito al rapporto con il secondogenito G._______, nato il (...), il ricorrente ha affermato di avere intenzione, d'accordo con la madre, di postulare la concessione dell'autorità parentale congiunta, in modo da potere crescere insieme il minore. A._______ ha ritenuto che non sarebbe opportuno limitare i suoi contatti con i figli a semplici telefonate e rare visite, in quanto entrambi i bambini necessiterebbero della sua presenza fisica. Lo stesso dicasi per quanto concerne la relazione con la moglie, siccome i coniugi desiderano vivere sotto lo stesso tetto e ciò dovrebbe avere luogo a F._______, dove E._______ è attiva professionalmente ed ha il centro dei suoi interessi.</w:t>
      </w:r>
    </w:p>
    <w:p>
      <w:r>
        <w:rPr>
          <w:b/>
        </w:rPr>
        <w:t>E. 9.9</w:t>
      </w:r>
    </w:p>
    <w:p>
      <w:r>
        <w:t>Dagli atti di causa risulta che, malgrado le allegazioni del ricorrente, i rapporti con i figli non possono essere considerati sufficientemente stretti ed intatti ai sensi dell'art. 8 CEDU. Occorre in effetti costatare che il piccolo D._______ ha vissuto con il padre solo per pochi mesi, in quanto A._______ ha lasciato l'allora domicilio coniugale dal 2 settembre 2008 al 10 settembre 2010, mentre dopo l'arresto avvenuto il 9 dicembre 2010 egli non ha più convissuto con il figlio. In merito alle relazioni con il secondogenito G._______, è d'uopo osservare che il ricorrente non ha mai abitato con il minore. L'auspicio espresso dalla madre di potere esercitare congiuntamente all'interessato l'autorità parentale espressa il 23 dicembre 2015 è rimasto tale, dato che non risulta che passi in tal senso siano stati compiuti. A proposito dell'unione coniugale con E._______, il Tribunale rileva che dopo il matrimonio avvenuto il 6 marzo 2014 a C._______ i coniugi hanno convissuto solamente fino al 31 maggio 2014, allorquando l'insorgente è stato costretto a lasciare la Svizzera a seguito del mancato rinnovo del suo permesso di dimora. Successivamente, e meglio il 13 agosto 2014, egli è stato nuovamente arrestato, rimanendo in detenzione fino all'8 gennaio 2016 quando è stato rimpatriato. Queste circostanze non permettono di qualificare le relazioni con i figli e l'unione matrimoniale come strette, intatte ed effettivamente vissute giusta l'art. 8 CEDU. Va altresì considerato, come del resto fatto anche dalla SEM, che l'impossibilità per A._______ di coltivare rapporti con i citati familiari è da ascrivere innanzitutto ai suoi ripetuti comportamenti criminosi che hanno avuto per conseguenza lunghi periodi di incarcerazione ed il mancato rinnovo del suo permesso di dimora in Svizzera.</w:t>
      </w:r>
    </w:p>
    <w:p>
      <w:r>
        <w:rPr>
          <w:b/>
        </w:rPr>
        <w:t>E. 9.10</w:t>
      </w:r>
    </w:p>
    <w:p>
      <w:r>
        <w:t>In conclusione, da quanto precede la decisione impugnata non viola il diritto al rispetto della vita privata e familiare ai sensi dell'art. 8 CEDU ed il ricorrente non può fondare alcun diritto sulla base di tale disposizione.</w:t>
      </w:r>
    </w:p>
    <w:p>
      <w:r>
        <w:rPr>
          <w:b/>
        </w:rPr>
        <w:t>E. 9.11</w:t>
      </w:r>
    </w:p>
    <w:p>
      <w:r>
        <w:t>Ciò posto, dalle considerazioni che precedono, ne deriva che l'interesse pubblico all'allontanamento di A._______ dalla Svizzera e dal Liechtenstein prevale su quello privato di quest'ultimo ad entrarvi. Di conseguenza, da una corretta valutazione degli interessi pubblici e privati in gioco, emerge che il divieto d'entrata di 10 anni è adeguato alle circostanze del caso concreto.</w:t>
      </w:r>
    </w:p>
    <w:p>
      <w:r>
        <w:rPr>
          <w:b/>
        </w:rPr>
        <w:t>E. 10</w:t>
      </w:r>
    </w:p>
    <w:p>
      <w:r>
        <w:t>In merito alla segnalazione del divieto d'entrata concernente il ricorrente nel sistema d'informazione Schengen (SIS) il Tribunale ritiene che anche in quest'ambito l'interesse pubblico all'allontanamento dell'interessato dal territorio della Confederazione e dall'aera Schengen prevalga su quello privato a potervi entrare, fermo restando che, come precedentemente rilevato al consid. 4.2, il ricorrente ha la facoltà di chiedere alla competenti autorità italiane il rilascio di un titolo di soggiorno in Italia indipendentemente dall'iscrizione nel SIS del suo divieto d'entrata. L'iscrizione dell'interessato nel SIS è, a mente dello scrivente Tribunale, giustificata e proporzionale, visti i fatti ritenuti (cfr. art. 21 e art. 24 par. 2 regolamento SIS II). Nell'ambito dell'implementazione della legislazione Schengen la Svizzera è in effetti chiamata a preservare gli interessi di tutti gli Stati membri (cfr. DTAF 2011/48 consid. 6.1). Fermo restando che ciò, come precedentemente rilevato, non impedisce agli altri Stati parte agli accordi di Schengen di autorizzare l'entrata dell'interessato sul loro territorio per motivi seri, o di emanare nei suoi confronti un visto con validità territoriale limitata (cfr. consid. 4.2 supra).</w:t>
      </w:r>
    </w:p>
    <w:p>
      <w:r>
        <w:rPr>
          <w:b/>
        </w:rPr>
        <w:t>E. 11</w:t>
      </w:r>
    </w:p>
    <w:p>
      <w:r>
        <w:t>Ne discende che l'autorità inferiore con la decisione del 24 novembre 2014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Le spese giudiziarie di fr. 1'200.-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13</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