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F-83/2023 vom 17. Juni 2024</w:t>
      </w:r>
    </w:p>
    <w:p>
      <w:r>
        <w:t>Bundesverwaltungsgericht, 2024-06-17, DE</w:t>
      </w:r>
    </w:p>
    <w:p>
      <w:r>
        <w:rPr>
          <w:b/>
        </w:rPr>
        <w:t xml:space="preserve">Quelle: </w:t>
      </w:r>
      <w:r>
        <w:t>https://mcp.opencaselaw.ch/entscheid/bvger_F-83_2023</w:t>
      </w:r>
    </w:p>
    <w:p>
      <w:r>
        <w:t>FR: TAF F-83/2023 du 17 juin 2024</w:t>
      </w:r>
    </w:p>
    <w:p>
      <w:r>
        <w:t>IT: TAF F-83/2023 del 17 giugno 2024</w:t>
      </w:r>
    </w:p>
    <w:p>
      <w:pPr>
        <w:pStyle w:val="Heading2"/>
      </w:pPr>
      <w:r>
        <w:t>Regeste</w:t>
      </w:r>
    </w:p>
    <w:p>
      <w:r>
        <w:t>Einreiseverbot</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Beschwerdeanhebung legitimiert (Art. 48 Abs. 1 VwVG). Auf die im Übrigen frist- und formgerecht eingereichte Beschwerde ist einzutreten (Art. 50 Abs. 1 und Art. 52 Abs. 1 VwVG).</w:t>
      </w:r>
    </w:p>
    <w:p>
      <w:r>
        <w:rPr>
          <w:b/>
        </w:rPr>
        <w:t>E. 1.4</w:t>
      </w:r>
    </w:p>
    <w:p>
      <w:r>
        <w:t>In der vorliegenden Angelegenheit entscheidet das Bundesverwaltungsgericht endgültig (Art. 83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Der Beschwerdeführer erhebt in seiner Beschwerde vom 7. Januar 2023 eine formelle Rüge, über die vorab zu befinden ist.</w:t>
      </w:r>
    </w:p>
    <w:p>
      <w:r>
        <w:rPr>
          <w:b/>
        </w:rPr>
        <w:t>E. 3.2</w:t>
      </w:r>
    </w:p>
    <w:p>
      <w:r>
        <w:t>Der Beschwerdeführer macht geltend, der Sachverhalt sei nicht rechtsgenüglich erstellt. Er sei in der Schweiz nicht erwerbstätig gewesen, sondern habe einmalig mit einem Kleinlaster Occasionsfahrzeuge aufgeladen, um sie dann mit seinem grossen Lastwagen nach Nordmazedonien bringen zu können. Sein Transportunternehmen sei im Schengen-Raum lizenziert, weshalb er mit seinem grossen Lastwagen die gleichen Occasionsfahrzeuge ohne weiteres hätte aufladen können. Dass das Aufladen mit einem kleineren Laster als bewilligungspflichtige Erwerbstätigkeit zähle, habe er weder wissen können noch müssen. Darüber hinaus sei er weder der deutschen noch der französischen Sprache mächtig und habe seinen Wohnsitz in Nordmazedonien. In einem allfälligen Strafverfahren sei er wegen Verbotsirrtums oder wegen fehlendem Vorsatz zu einer Straftat freizusprechen. Es bestehe daher kein Grund, ein Einreiseverbot zu verhängen.</w:t>
      </w:r>
    </w:p>
    <w:p>
      <w:r>
        <w:rPr>
          <w:b/>
        </w:rPr>
        <w:t>E. 3.3</w:t>
      </w:r>
    </w:p>
    <w:p>
      <w:r>
        <w:t>Die unvollständige Feststellung des rechtserheblichen Sachverhalts kann nach Art. 49 Bst. b VwVG gerügt werden. Unvollständig ist die Sachverhaltsfeststellung, wenn die Behörde - welche den Sachverhalt vorbehaltlich der Mitwirkungspflicht der Partei von Amtes wegen festzustellen hat (vgl. Art. 12 und Art. 13 Abs. 1 Bst. b VwVG) - nicht alle für den Entscheid wesentlichen Sachumstände berücksichtigt (vgl. Benjamin Schindler, in: Kommentar zum VwVG, 2. Aufl. 2019, Art. 49 N. 29).</w:t>
      </w:r>
    </w:p>
    <w:p>
      <w:r>
        <w:rPr>
          <w:b/>
        </w:rPr>
        <w:t>E. 3.4</w:t>
      </w:r>
    </w:p>
    <w:p>
      <w:r>
        <w:t>Inwiefern der Sachverhalt vorliegend unvollständig festgestellt worden sein soll, ist weder den Ausführungen des Beschwerdeführers noch den Akten zu entnehmen. Die Fragen, ob vom Beschwerdeführer eine Gefahr für die öffentliche Sicherheit und Ordnung ausgeht beziehungsweise ob sein Verhalten einen Grund für die Anordnung einer Fernhaltemassnahme darstellt, betreffen nicht die Sachverhaltsfeststellung, sondern sind materieller Art und betreffen die Rechtsanwendung.</w:t>
      </w:r>
    </w:p>
    <w:p>
      <w:r>
        <w:rPr>
          <w:b/>
        </w:rPr>
        <w:t>E. 3.5</w:t>
      </w:r>
    </w:p>
    <w:p>
      <w:r>
        <w:t>Die formelle Rüge erweist sich als unbegründet, weshalb keine Veranlassung besteht, die angefochtene Verfügung aufzuheben und die Sache an die Vorinstanz zurückzuweisen. Das entsprechende Rechtsbegehren ist somit abzuweisen.</w:t>
      </w:r>
    </w:p>
    <w:p>
      <w:r>
        <w:rPr>
          <w:b/>
        </w:rPr>
        <w:t>E. 4.1</w:t>
      </w:r>
    </w:p>
    <w:p>
      <w:r>
        <w:t>Gemäss Art. 67 Abs. 1 Bst. c AIG verfügt das SEM unter Vorbehalt von Absatz 5 Einreiseverbote gegenüber weggewiesenen Ausländerinnen und Ausländern,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rPr>
          <w:b/>
        </w:rPr>
        <w:t>E. 4.3</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67 Abs. 5 und 96 Abs. 1 AIG; Urteil des BVGer F-1419/2020 vom 11. August 2020, E. 3.4; vgl. auch Häfelin/Müller/Uhlmann, Allgemeines Verwaltungsrecht, 8. Aufl. 2020, Rz. 555 ff.).</w:t>
      </w:r>
    </w:p>
    <w:p>
      <w:r>
        <w:rPr>
          <w:b/>
        </w:rPr>
        <w:t>E. 5.1</w:t>
      </w:r>
    </w:p>
    <w:p>
      <w:r>
        <w:t>Zur Begründung des Einreiseverbots führt die Vorinstanz in der angefochtenen Verfügung vom 12. Dezember 2022 aus, der Beschwerdeführer sei gemäss den kantonalen Akten in der Schweiz erwerbstätig gewesen, ohne über die dafür erforderliche ausländerrechtliche Bewilligung zu verfügen. Die Ausübung einer solchen unbewilligten Erwerbstätigkeit stelle einen Verstoss gegen die öffentliche Sicherheit und Ordnung im Sinne von Art. 67 Abs. 1 Bst. c AIG in Verbindung mit Art. 77a Abs. 1 Bst. a und Abs. 2 VZAE dar. Der Erlass einer Fernhaltemassnahme erscheine unabhängig von einem allfälligen Strafverfahren angezeigt. Die erlassene Massnahme erweise sich als verhältnismässig und gerechtfertigt.</w:t>
      </w:r>
    </w:p>
    <w:p>
      <w:r>
        <w:rPr>
          <w:b/>
        </w:rPr>
        <w:t>E. 5.2</w:t>
      </w:r>
    </w:p>
    <w:p>
      <w:r>
        <w:t>Der Beschwerdeführer entgegnet in seiner Rechtsmitteleingabe, dass er die öffentliche Sicherheit und Ordnung in der Schweiz nicht gefährde. Wenn überhaupt, habe er lediglich aus Unwissenheit gegen ausländerrechtliche Bestimmungen verstossen. Aus Sicherheitsgründen habe er beim Einsammeln und Verladen auf den kleineren Laster zurückgegriffen, da er Unfälle auf den vereisten Strassen mit dem grossen Lastwagen habe vermeiden wollen. Das verfügte Einreiseverbot sei darüber hinaus unverhältnismässig. Es sei schon nicht erforderlich, da es auf einem Verbotsirrtum seinerseits beruhe bzw. er nicht habe «schwarz» arbeiten wollen. Darüber hinaus sei ihm die Massnahme nicht zumutbar. Mit einem Einreiseverbot für den gesamten Schengen-Raum in den nächsten zwei Jahren werde ihm als Lastwagenfahrer die Arbeitsgrundlage entzogen.</w:t>
      </w:r>
    </w:p>
    <w:p>
      <w:r>
        <w:rPr>
          <w:b/>
        </w:rPr>
        <w:t>E. 5.3</w:t>
      </w:r>
    </w:p>
    <w:p>
      <w:r>
        <w:t>In ihrer Vernehmlassung hält die Vorinstanz daran fest, dass der Beschwerdeführer durch sein Verhalten die öffentliche Sicherheit und Ordnung gefährdet habe. Es sei unbestritten, dass er mit einem Lastwagen neue Autos in die Schweiz transportiert und diese beim Empfänger abgeladen habe. Anschliessend habe er mit einem kleinen Transporter an mehreren Standorten Gebrauchtwagen abgeholt, die er dann auf den Lastwagen umgeladen und nach Nordmazedonien transportiert habe. Nach eigenen Aussagen sei er im Jahre 2022 ca. sechs Mal für zwei bis drei Tage in der Schweiz gewesen und habe gleiche Transporte vorgenommen. Damit sei klar erstellt, dass der Beschwerdeführer in der Schweiz eine Erwerbstätigkeit ausführte, die der Bewilligungspflicht unterliege. Dabei sei unerheblich, ob er die Transporte mit einem Lastfahrzeug oder einem Kleintransporter vorgenommen habe. Es könne von dem Beschwerdeführer erwartet werden, sich vorab Kenntnis über die Einreise- und Aufenthaltsvorschriften in der Schweiz zu verschaffen. Das auf zwei Jahre befristete Einreiseverbot sei gerechtfertigt und erweise sich auch als verhältnismässig.</w:t>
      </w:r>
    </w:p>
    <w:p>
      <w:r>
        <w:rPr>
          <w:b/>
        </w:rPr>
        <w:t>E. 5.4</w:t>
      </w:r>
    </w:p>
    <w:p>
      <w:r>
        <w:t>In seiner Replik stellt der Beschwerdeführer klar, dass er nicht bestreite, in der Schweiz mehrere Transportfahrten durchgeführt zu haben. Allerdings habe er auf Weisung seines Vorgesetzten in Nordmazedonien gehandelt, der irrtümlicherweise davon ausgegangen sei, dass für seine Angestellten ein Aufenthalt von 90 Tagen im Schengen-Raum nicht visumspflichtig sei. Ein Einreiseverbot für den gesamten Schengen-Raum komme einem Arbeitsverbot gleich, welches er nicht verschuldet habe. Mittlerweile sei er bei einer deutschen Schwestergesellschaft des nordmazedonischen Transportunternehmens angestellt.</w:t>
      </w:r>
    </w:p>
    <w:p>
      <w:r>
        <w:rPr>
          <w:b/>
        </w:rPr>
        <w:t>E. 6.1</w:t>
      </w:r>
    </w:p>
    <w:p>
      <w:r>
        <w:t>Der Beschwerdeführer bestreitet seinen illegalen Aufenthalt in der Schweiz vom 7. Dezember 2022 bis 13. Dezember 2022 und die Ausübung einer Erwerbstätigkeit während dieses Zeitraums nicht. Er wurde zudem von der Staatsanwaltschaft des Kantons B._______ mit Strafbefehl vom 6. März 2023 wegen Widerhandlung gegen das Ausländer- und Einreisegesetz durch rechtswidrige Einreise, rechtswidrigen Aufenthalt und Erwerbstätigkeit ohne Bewilligung sowie Widerhandlungen gegen die Strassenverkehrsgesetzgebung durch Verwenden von im Ausland immatrikulierten Fahrzeugen für Binnentransporte in der Schweiz ohne schweizerische Zulassung (Kabotage) schuldig erklärt (BVGer-act. 8, Beilage). Der Fernhaltegrund von Art. 67 Abs. 1 Bst. c AIG ist vorliegend erfüllt. Der Beschwerdeführer hat ausländerrechtliche und strassenverkehrszulassungsrechtliche Bestimmungen verletzt und damit gegen die öffentliche Sicherheit und Ordnung verstossen. Hinsichtlich des geltend gemachten Irrtums ist darauf hinzuweisen, dass die Unkenntnis oder Fehlinterpretation der Einreise- und Aufenthaltsvorschriften in casu keinen hinreichenden Grund für ein Absehen von einer Fernhaltemassnahme darstellen (vgl. zuvor unter E. 4.2).</w:t>
      </w:r>
    </w:p>
    <w:p>
      <w:r>
        <w:rPr>
          <w:b/>
        </w:rPr>
        <w:t>E. 6.2</w:t>
      </w:r>
    </w:p>
    <w:p>
      <w:r>
        <w:t>Zu prüfen bleibt die Verhältnismässigkeit der Massnahme (Art. 5 Abs. 2 BV, Art. 96 Abs. 1 AIG). Eine Prognose, für welchen Zeitraum die Sicherungsmassnahme notwendig sein wird, ist naturgemäss nicht möglich. Abstufungen betreffend die Dauer ergeben sich bei der Abwägung zwischen dem öffentlichen Interesse an der Fernhaltung und den privaten Interessen, welche die betroffene Person an der zeitlichen Beschränkung der Massnahme hat (BVGE 2016/33 E. 9.2; 2014/20 E. 8.1).</w:t>
      </w:r>
    </w:p>
    <w:p>
      <w:r>
        <w:rPr>
          <w:b/>
        </w:rPr>
        <w:t>E. 6.2.1</w:t>
      </w:r>
    </w:p>
    <w:p>
      <w:r>
        <w:t>Die Verstösse des Beschwerdeführers gegen ausländerrechtliche Bestimmungen durch die rechtswidrige Einreise, den rechtswidrigen Aufenthalt und die Erwerbstätigkeit ohne Bewilligung wiegen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Urteil des BVGer F-1641/2019 vom 14. September 2022 E. 4.1.1). Vorliegend besteht daher bereits aus generalpräventiven Gründen ein öffentliches Interesse an einer zeitlich befristeten Fernhaltung des Beschwerdeführers. Das Einreiseverbot erscheint jedoch in casu auch aus spezialpräventiven Gründen angezeigt, um ihn bei künftigen Aufenthalten in der Schweiz von der erneuten Gefährdung der öffentlichen Sicherheit und Ordnung abzuhalten. Anzumerken bleibt, dass bei Drittstaatsangehörigen der konkreten Rückfallgefahr im Vergleich mit Staatsangehörigen einer Vertragspartei des Freizügigkeitsabkommen (FZA, SR 0.142.112.681) eine geringere Tragweite zukommt (vgl. BGE 139 II 121 E. 5.3; 136 II 5 E. 4.2; BVGE 2017 VII/2 E. 4.4).</w:t>
      </w:r>
    </w:p>
    <w:p>
      <w:r>
        <w:rPr>
          <w:b/>
        </w:rPr>
        <w:t>E. 6.2.2</w:t>
      </w:r>
    </w:p>
    <w:p>
      <w:r>
        <w:t>Den öffentlichen Fernhalteinteressen sind die privaten Interessen des Beschwerdeführers gegenüberzustellen. Der Beschwerdeführer bringt vor, das Einreiseverbot stelle für ihn, als nunmehr in Deutschland angestellten Kraftfahrer, faktisch ein Berufsverbot dar. Diesbezüglich ist zunächst auszuführen, dass die einzelnen Schengen-Staaten trotz SIS-Ausschreibung auf entsprechendes Gesuch hin die Einreise in ihr Hoheitsgebiet gestatten können. Zudem kann der Beschwerdeführer seinen Beruf in Bezug auf alle Staaten ausserhalb des Schengen-Raums nach wie vor ausüben. Neben den beruflichen Gründen bringt er keine weiteren privaten Interessen vor. Das allein aus dem Umstand der für die Dauer des Einreiseverbots - wenn auch erheblich - schwierigeren Bedingungen bei der Berufsausübung resultierende private Interesse an einem Verzicht auf die Massnahme ist nicht gewichtig genug, um das dargelegte öffentliche Interesse aufzuwiegen.</w:t>
      </w:r>
    </w:p>
    <w:p>
      <w:r>
        <w:rPr>
          <w:b/>
        </w:rPr>
        <w:t>E. 6.3</w:t>
      </w:r>
    </w:p>
    <w:p>
      <w:r>
        <w:t>Zusammenfassend ist festzuhalten, dass das vorliegende Einreiseverbot sowohl im Grundsatz als auch hinsichtlich seiner Dauer eine verhältnismässige und angemessene Massnahme zum Schutz der öffentlichen Sicherheit und Ordnung darstellt. Das verhängte Einreiseverbot entspricht denn auch der Praxis des Bundesverwaltungsgerichts in vergleichbaren Fällen (vgl. etwa Urteil des BVGer F-1842/2023 vom 29. April 2024 m.H.).</w:t>
      </w:r>
    </w:p>
    <w:p>
      <w:r>
        <w:rPr>
          <w:b/>
        </w:rPr>
        <w:t>E. 7.1</w:t>
      </w:r>
    </w:p>
    <w:p>
      <w:r>
        <w:t>Abschliessend zu prüfen ist die Rechtmässigkeit der von der Vorinstanz angeordneten und von dem Beschwerdeführer beanstandeten Ausschreibung des Einreiseverbots im SIS.</w:t>
      </w:r>
    </w:p>
    <w:p>
      <w:r>
        <w:rPr>
          <w:b/>
        </w:rPr>
        <w:t>E. 7.2</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[hier noch anwendbaren] Verordnung [EG] Nr. 1987/2006 vom 20. Dezember 2006 über die Einrichtung, den Betrieb und die Nutzung des SIS-II, Abl. L 381/4 vom 28. Dezember 2006 [aSIS-II-VO]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N-SIS-Verordnung vom 8. März 2013 [SR 362.0]).</w:t>
      </w:r>
    </w:p>
    <w:p>
      <w:r>
        <w:rPr>
          <w:b/>
        </w:rPr>
        <w:t>E. 7.3</w:t>
      </w:r>
    </w:p>
    <w:p>
      <w:r>
        <w:t>In Anbetracht der vorangegangenen Ausführungen erweist sich die Ausschreibung des Einreiseverbots im Schengener Informationssystem (vgl. Art. 21 i.V.m. Art. 24 Ziff. 3 aSIS-II-Verordnung) als verhältnismässig und zur Wahrung der Interessen der Gesamtheit aller Schengen-Staaten als notwendig, weshalb sie demnach nicht zu beanstanden ist. So geht es in Konstellationen wie der vorliegenden um zentrale Bestimmungen der migrationsrechtlichen Ordnung (vgl. Urteile des BVGer F-3986/2021 vom 15. März 2023 E. 6; F-2524/2021 vom 12. Oktober 2022 E. 5). Eine mit der Ausschreibung einhergehende zusätzliche Beeinträchtigung hat der Beschwerdeführer in Kauf zu nehmen (Urteile des BVGer F-5244/2018 vom 8. Juli 2020 E. 9; F-3533/2016 vom 31. Mai 2017 E. 6.3; F-4369/2015 vom 18. Oktober 2016 E. 6.3). Wie bereits erwähnt, hindert im Übrigen die Ausschreibung die anderen Schengen-Staaten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8</w:t>
      </w:r>
    </w:p>
    <w:p>
      <w:r>
        <w:t>Aus diesen Erwägungen ergibt sich, dass die angefochtene Verfügung im Lichte von Art. 49 VwVG nicht zu beanstanden ist. Die Beschwerde ist demzufolge abzuweisen.</w:t>
      </w:r>
    </w:p>
    <w:p>
      <w:r>
        <w:rPr>
          <w:b/>
        </w:rPr>
        <w:t>E. 9</w:t>
      </w:r>
    </w:p>
    <w:p>
      <w:r>
        <w:t>Entsprechend dem Ausgang des Verfahrens sind die Kosten dem Beschwerdeführer aufzuerlegen (Art. 63 Abs. 1 VwVG). Sie sind in Anwendung von Art. 1 ff. des Reglements vom 21. Februar 2008 über die Kosten und Entschädigungen vor dem Bundesverwaltungsgericht (VGKE, SR 173.320.2) auf Fr. 1'200.- festzusetzen und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