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F-837/2024 vom 12. Februar 2024</w:t>
      </w:r>
    </w:p>
    <w:p>
      <w:r>
        <w:t>Bundesverwaltungsgericht, 2024-02-12, DE</w:t>
      </w:r>
    </w:p>
    <w:p>
      <w:r>
        <w:rPr>
          <w:b/>
        </w:rPr>
        <w:t xml:space="preserve">Quelle: </w:t>
      </w:r>
      <w:r>
        <w:t>https://mcp.opencaselaw.ch/entscheid/bvger_F-837_2024</w:t>
      </w:r>
    </w:p>
    <w:p>
      <w:r>
        <w:t>FR: TAF F-837/2024 du 12 février 2024</w:t>
      </w:r>
    </w:p>
    <w:p>
      <w:r>
        <w:t>IT: TAF F-837/2024 del 12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Die Beschwerdeführenden beantragen die Ansetzung einer Nachfrist zur Beschwerdeergänzung gemäss Art. 53 VwVG. Zur Begründung führen sie an, sie hätten aufgrund der äusserst kurzen Beschwerdefrist sowie der Niederlegung des Mandats durch die vorherige Rechtsvertretung nur wenig Zeit für die Anwaltssuche gehabt. Folglich sei es der Rechtsvertretung nicht möglich gewesen, vor Ablauf der Beschwerdefrist ein ausführliches Gespräch zu organisieren, insbesondere da hier zwingend eine Dolmetscherin hätte beigezogen werden müssen, was innert weniger Tage nicht möglich gewesen sei. Es sei deshalb eine angemessene Frist zu gewähren, um die Beschwerde - insbesondere hinsichtlich des medizinischen Sachverhalts und der Abhängigkeit der (Nennung Verwandte) des Beschwerdeführers - zu ergänzen und gegebenenfalls noch weitere Beweismittel einzureichen (Beschwerde Ziff. 42).</w:t>
      </w:r>
    </w:p>
    <w:p>
      <w:r>
        <w:rPr>
          <w:b/>
        </w:rPr>
        <w:t>E. 3.2</w:t>
      </w:r>
    </w:p>
    <w:p>
      <w:r>
        <w:t>Die vorherige Rechtsvertretung hatte am gleichen Tag des Erhalts der angefochtenen Verfügung ihr Mandat niedergelegt. Die Beschwerdeführenden hatten damit noch genügend Zeit gehabt, um eine neue Rechtsvertretung aufzusuchen (am 2. Tag der Beschwerdefrist) und eine Beschwerde einzureichen, was ihnen gelungen ist. Sie hatten sodann anlässlich des Dublins-Gesprächs die Gelegenheit, allfällige Gründe, die gegen eine Wegweisung nach Kroatien sprechen würden, anzugeben. Im Übrigen erachtet das Gericht den medizinischen Sachverhalt als hinreichend erstellt, um eine Wegweisung nach Kroatien zu beurteilen (vgl. auch E. 4 nachfolgend). Es besteht deshalb kein Anlass, den Beschwerdeführenden eine Frist zur Ergänzung der Beschwerde anzusetzen.</w:t>
      </w:r>
    </w:p>
    <w:p>
      <w:r>
        <w:rPr>
          <w:b/>
        </w:rPr>
        <w:t>E. 4.1</w:t>
      </w:r>
    </w:p>
    <w:p>
      <w:r>
        <w:t>Der Beschwerdeführenden bemängeln den angefochtenen Entscheid des SEM in formeller Hinsicht in verschiedenen Punkten, so im Zusammenhang mit systemischen Mängeln im kroatischen Asylverfahren, Push-Backs und Kettenabschiebungen, Polizeigewalt und fehlender rechtlicher Möglichkeiten, sich dagegen zu wehren, Gesundheitsversorgung und Unterbringungsmöglichkeiten für Asylsuchende sowie bezüglich des fehlenden Zugangs zum Asylverfahren und des Kindeswohls. Die Vorinstanz habe in diesem Zusammenhang den Umständen des Einzelfalls nicht genügend Rechnung getragen und die humanitäre Situation ungenügend berücksichtigt. Auch hätte sich sie sich konkret und intensiv mit der Meinung des Kindes auseinandersetzen müssen und gewährleisten sollen, dass jene einen adäquaten Eingang ins Verfahren finden würde. Die spezifischen Interessen der Kinder, und mithin das Kindeswohl, würden im Dunkeln bleiben, weshalb nicht beurteilt werden könne, ob dieses im Falle einer Wegweisung nach Kroatien gefährdet wäre. Dadurch liege eine Verletzung des Untersuchungsgrundsatzes und - sinngemäss - des rechtlichen Gehörs (Begründungspflicht) vor. Diese formellen Rügen sind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der Beschwerdeführenden und den vorliegenden Unterlagen (vgl. SEM act. 1305641-37/17 [nachfolgend: act. 37]) mit ihrer individuellen Situation, dem Asylverfahren und den Aufnahmebedingungen in Kroatien, der von ihnen angeführten Behandlung nach ihrem Grenzübertritt in Kroatien, den ihnen offenstehenden Möglichkeiten, sich dort gegen ungerechte oder rechtswidrige Behandlung zu wehren und ein Asylgesuch einzureichen, der allgemeinen Situation inklusive der Push-Back-Problematik - unter Hinweis auf mehrere Abklärungen der Schweizer Vertretung in Kroatien - und der Möglichkeit, sich bei allfälligen gesundheitlichen Problemen in Kroatien behandeln zu lassen, auseinandergesetzt. Das SEM hat sich in seiner Verfügung insbesondere auch mit dem Gesundheitszustand aller Beschwerdeführenden einlässlich und rechtsgenüglich auseinandergesetzt und dazu den medizinischen Sachverhalt gestützt auf ihre Angaben in den Dublin-Gesprächen, den in den Akten liegenden medizinischen Berichten und seinen eigenen Abklärungen, zusammengefasst (vgl. SEM act. 37, S. 7 ff.). Weitere medizinische Abklärungen hielt das SEM hingegen zu Recht nicht für erforderlich (vgl. auch nachfolgende E. 8.4). Soweit die Beschwerdeführenden monieren, die Vorinstanz hätte sich konkret und intensiv mit der Meinung ihres Kindes auseinandersetzen müssen und gewährleisten sollen, dass diese einen adäquaten Eingang ins Verfahren findet, vermag dieser Einwand nicht zu überzeugen. Der Sohn der Beschwerdeführer war im Zeitpunkt der Dublin-Gespräche lediglich (Nennung Alter) alt; die Beschwerdeführenden erhielten daher im Rahmen des am 12. Januar 2024 gewährten rechtlichen Gehörs die Möglichkeit, sich zu allfälligen Wegweisungsvollzugshindernissen aus der Sicht ihres Sohnes zu äussern (vgl. SEM act. 1305641-24/3 [nachfolgend: act. 24] S. 2; act. 1305641-25/4 [nachfolgend: act. 25] S. 3), wovon sie Gebrauch machten. Es ist somit nicht ersichtlich, in welcher Hinsicht im vorliegenden Verfahren konkretere weitere Abklärungen hätten vorgenommen werden müssen. Es ist somit keine Verletzung des Untersuchungsgrundsatzes festzustellen.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sowie Würdigung der Parteivorbringen und Unterlagen nachvollziehbar aufgezeigt hat, von welchen Überlegungen sie sich - gerade auch in individueller Hinsicht - leiten liess (vgl. act. 37 S. 3 ff.).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illegalen Einreise der Beschwerdeführenden respektive zur damit im Zusammenhang stehenden Problematik von Push-Backs, zur Frage einer Kettenabschiebung und zu derjenigen des Vorliegens von systemischen Mängeln im kroatischen Asyl- und Aufnahmesystem sowie zu ihren Möglichkeiten, sich gegen unkorrektes Verhalten zu wehren und medizinisch versorgt zu werden, zu entnehmen. Ebenso enthalten diese Erwägungen mit Blick auf die Anwesenheit von Verwandten des Beschwerdeführers in der Schweiz Ausführungen zu Art. 16 Dublin-III-VO sowie eine Prüfung des Kindeswohls (vgl. SEM act. 37 S. 10). Eine Verletzung der Begründungspflicht ist auch deshalb zu verneinen, weil es den Beschwerdeführenden möglich war, sich ein Bild über die Tragweite des vorinstanz-lichen Entscheides zu machen und diesen sachgerecht anzufechten. Dass sie die Auffassung und Schlussfolgerungen der Vorinstanz hinsichtlich der Würdigung ihrer Aussagen und der Aktenlage nicht teilen, ist keine Verletzung des rechtlichen Gehörs, sondern betrifft die materielle Beurteilung der vorgebrachten Überstellungshindernisse.</w:t>
      </w:r>
    </w:p>
    <w:p>
      <w:r>
        <w:rPr>
          <w:b/>
        </w:rPr>
        <w:t>E. 4.4</w:t>
      </w:r>
    </w:p>
    <w:p>
      <w:r>
        <w:t>Die formellen Rügen erweisen sich somit als unbegründet. Es besteht keine Veranlassung, die Sache zur Neubeurteilung an die Vorinstanz zurückzuweisen. Das diesbezügliche Eventualbegehren (Rechtsbegehren Ziff. 3)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Vorliegend sind sowohl die Antragsstellung in Kroatien als auch der Umstand als erstellt zu erachten, dass das kroatische Verfahren zur Bestimmung des für die Asylgesuche der Beschwerdeführenden zuständigen Mitgliedstaates gemäss Art. 20 Abs. 5 Dublin-III-VO noch nicht abgeschlossen wurde und nach ihrer Rücküberstellung fortgesetzt wird (vgl.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6.2</w:t>
      </w:r>
    </w:p>
    <w:p>
      <w:r>
        <w:t>Die Beschwerdeführenden führen an, es hätte aufgrund eines Abhängigkeitsverhältnisses zwischen dem Beschwerdeführer und seiner (Nennung Verwandte) Art. 16 Abs. 1 Dublin-III-VO zur Anwendung gelangen müssen. So habe dessen (Nennung Verwandte) aufgrund der erlebten Traumata (Nennung Leiden) und sei auf die Hilfe und Unterstützung ihres Sohnes angewiesen.</w:t>
      </w:r>
    </w:p>
    <w:p>
      <w:r>
        <w:rPr>
          <w:b/>
        </w:rPr>
        <w:t>E. 6.2.1</w:t>
      </w:r>
    </w:p>
    <w:p>
      <w:r>
        <w:t>Gemäss der besagten Bestimmung Art. 16 Abs. 1 Dublin-III-VO entscheiden die Mitgliedstaaten in der Regel, die Beteiligten nicht zu trennen beziehungsweise sie zusammenzuführen, wenn ein Antragsteller insbesondere wegen schwerer Krankheit, ernsthafter Behinderung oder hohen Alters auf die Unterstützung seines Kindes, eines seiner Geschwister oder eines Elternteils angewiesen ist, das/der sich rechtmässig in einem Mitgliedstaat aufhält, oder bei umgekehrter Konstellation, sofern die familiäre Bindung bereits im Herkunftsland bestanden hat, wenn der nahe Angehörige in der Lage ist, die abhängige Person zu unterstützen und die Betroffenen diesen Wunsch schriftlich kundgetan haben.</w:t>
      </w:r>
    </w:p>
    <w:p>
      <w:r>
        <w:rPr>
          <w:b/>
        </w:rPr>
        <w:t>E. 6.2.2</w:t>
      </w:r>
    </w:p>
    <w:p>
      <w:r>
        <w:t>Zur Beurteilung, ob ein rechtlich relevantes Abhängigkeitsverhältnis besteht, ist auf eine Gesamtwürdigung des konkreten Einzelfalls unter Einbezug der individuellen und soziokulturellen Lebenssituation der betroffenen Personen abzustellen (vgl. statt vieler Urteil des BVGer D-5051/2023 vom 28. September 2023 E. 7.2. m.H.). Gemäss Praxis des Bundesverwaltungsgerichts begründet das Bedürfnis nach affektiver oder psychischer Unterstützung durch die Angehörigen für sich allein grundsätzlich noch kein Abhängigkeitsverhältnis im Sinne von Art. 16 Abs. 1 Dublin-IIIVO (vgl. BVGE 2017 VI/5 E. 8.3.5; Urteile des BVGer F-5666/2023 vom 29. November 2023 E. 6.2, D-5051/2023 vom 28. September 2023 E. 7.2, E-317/2022 vom 10. Februar 2023 E. 7.2.1; F-1568/2022 vom 12. April 2022 E. 7.6.2). In den Anwendungsbereich fallen können Situationen schwerer psychischer Störungen nach Traumata, für die sich die Anwesenheit eines nahen Angehörigen als unerlässlich erweist, um eine gewisse psychische Stabilität zu gewährleisten und eine schwere Dekompensation auf Dauer zu vermeiden (vgl. Urteile des BVGer D-989/2023 vom 3. März 2023 E. 6.2.4, F-260/2021 vom 22. Juli 2021 E. 8.4 je m.w.H.). Das die Zuständigkeit begründende Abhängigkeitsverhältnis bleibt dabei auf Situationen besonderer Hilfsbedürftigkeit beschränkt (vgl. Urteil des BVGer E-3660/2019 vom 29. August 2019 E. 6.2.2).</w:t>
      </w:r>
    </w:p>
    <w:p>
      <w:r>
        <w:rPr>
          <w:b/>
        </w:rPr>
        <w:t>E. 6.2.3</w:t>
      </w:r>
    </w:p>
    <w:p>
      <w:r>
        <w:t>Die Frage einer Zuständigkeit der Schweiz aufgrund des Bestehens eines Abhängigkeitsverhältnisses im Sinne von Art. 16 Abs. 1 Dublin-III-VO zwischen dem Beschwerdeführer und seiner schon seit (Nennung Dauer) in der Schweiz lebenden (Nennung Verwandte) ist zu verneinen. Weder vermögen die Beschwerdeführenden ein solches Abhängigkeitsverhältnis im Sinne der besagten Bestimmung mit Unterlagen zu belegen noch rechtsgenüglich zu begründen. Es war der (Nennung Verwandte) in den letzten (Nennung Dauer) offensichtlich möglich, ohne die Unterstützung des Beschwerdeführers auszukommen. Es ist verständlich, dass der Beschwerdeführer - und mit ihm auch die übrigen Beschwerdeführenden - das Asylverfahren aufgrund der Anwesenheit von Angehörigen gern in der Schweiz durchlaufen möchte. Es ist nicht zu verkennen, dass er in psychischer Hinsicht belastet sein dürfte, auch wenn er selber anführt, dass er diesbezüglich keine nachhaltigen Probleme habe (vgl. SEM act. 25 S. 3), und die Möglichkeit des Beisammenseins zum psychischen Wohlergehen beitragen könnte. Das Bedürfnis nach gegenseitiger psychischer Unterstützung lässt ein Abhängigkeitsverhältnis zwischen dem volljährigen Beschwerdeführer und seiner (Nennung Verwandte) im Sinne der besagten Bestimmung aber weder in der einen noch der anderen Konstellation begründen. Im Übrigen hat die (Nennung Verwandte) des Beschwerdeführers den Wunsch nach einer solchen Unterstützung auch nicht in der von Art. 16 Abs. 1 Dublin-III-VO geforderten Weise kundgetan.</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 auch unter Berücksichtigung kritischer Berichte nationaler und internationaler Organisationen sowie der diesbezüglich in der Rechtsmitteleingabe zitierten Quellenhinweise (vgl. S. 5 ff.) -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Die nicht weiter belegten Ausführungen der Beschwerdeführenden zu erlebter Polizeigewalt und allgemein schlechter Behandlung in Kroatien im Zusammenhang mit ihrer illegalen Einreise (vgl. SEM act. 24 und act. 25) sind nicht geeignet, die Annahme zu widerlegen, wonach Kroatien seinen völkerrechtlichen Verpflichtungen im Rahmen eines Asylverfahrens nachkommt (vgl. Referenzurteil E-1488/2020 E. 8 und E. 9.5). Gegen das Fehlverhalten von einzelnen Polizeibeamten könnten sie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8.2</w:t>
      </w:r>
    </w:p>
    <w:p>
      <w:r>
        <w:t>Die Beschwerdeführenden bringen hierzu vor, sie alle seien von den Erlebnissen in Kroatien traumatisiert. Bei einer Rückkehr dorthin drohe eine Retraumatisierung und damit die echte Gefahr einer wesentlichen Verschlechterung des Gesundheitszustands. Ihr Kind sei dort mehrmals Zeuge von Gewalttaten und auch von Gewalt gegen den Beschwerdeführer geworden; die psychischen Folgen seien derzeit noch nicht abschätzbar. Sie hätten sich bei den Behörden wiederholt und ohne Erfolg um medizinische Betreuung bezüglich des Gesundheitszustands ihres Kindes gemeldet (vgl. dazu SEM act. 1305641-31/8).</w:t>
      </w:r>
    </w:p>
    <w:p>
      <w:r>
        <w:rPr>
          <w:b/>
        </w:rPr>
        <w:t>E. 8.3</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haben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sie nötigenfalls gehalten, sich an die dortigen Behörden zu wenden und die ihnen zustehenden Aufnahmebedingungen auf dem Rechtsweg einzufordern (vgl. Art. 26 Aufnahmerichtlinie). Dies gilt auch in Bezug auf das geltend gemachte Verhalten seitens der kroatischen Behörden, das sich im Übrigen auf Vorkommnisse nach ihrer illegalen Einreise und nicht auf den Aufenthalt in den dortigen Aufenthaltsstrukturen bezieht. Das (...)-jährige Kind ist aufgrund seines sehr jungen Alters beziehungsmässig noch stark auf seine Eltern fixiert und angesichts der kurzen Aufenthaltsdauer in der Schweiz hier nicht verwurzelt, sodass ein Vollzug der Wegweisung nicht gegen das Kindeswohl spricht. Bei der Prüfung desselbigen ist das grundlegende Bedürfnis von Kindern zu berücksichtigen, in möglichst engem Kontakt mit ihren Eltern aufwachsen zu können. Den Akten sind keine Hinweise dafür zu entnehmen, dass in Kroatien die Gefahr bestehen könnte, das Kind würde von seinen Eltern getrennt. Es kann in Übereinstimmung mit der aktuellen Rechtsprechung davon ausgegangen werden, dass die Familie Zugang zu adäquater Unterbringung und Unterstützung erhalten wird (vgl. Urteil des BVGer E-4341/2022 vom 8. Dezember 2022 E. 7.4.1). Schliesslich ist festzuhalten, dass allfällige psychische Probleme der Beschwerdeführenden - so möglicherweise auch des Kindes - angesichts der Erlebnisse der Familie leider nicht überraschen. Es sind indes keine Hinweise auf unverzüglich behandlungsbedürftige Beeinträchtigungen ersichtlich (vgl. nachstehend E. 8.4).</w:t>
      </w:r>
    </w:p>
    <w:p>
      <w:r>
        <w:rPr>
          <w:b/>
        </w:rPr>
        <w:t>E. 8.4</w:t>
      </w:r>
    </w:p>
    <w:p>
      <w:r>
        <w:t>Zum Gesundheitszustand ist festzuhalten, dass sowohl der Beschwerdeführer als auch die Beschwerdeführerin (Nennung Leiden und Therapie). Seither wurden sie beim Gesundheitsdienst des Bundesasylzentrums (BAZ) F._______ nicht mehr vorstellig (vgl. SEM act. 1305641-34/2 [nachfolgend: act. 34]). Vorgesehene Arzttermine sind keine aktenkundig. Weiter wurde gemäss einem Arztbericht vom (...) der Sohn wegen (Nennung Grund) ärztlich untersucht. (Nennung Beschwerden). Die Beweglichkeit des (Nennung Körperteil) war uneingeschränkt und schmerzfrei. Allenfalls bestehe eine (Nennung ärztlicher Teilbefund). Auch eine Röntgenuntersuchung ergab keine Hinweise auf einer Verletzung. Es wurde Schonung sowie Analgesie empfohlen sowie eine erneute Vorstellung in einer Woche, falls keine Besserung eintrete (vgl. SEM act. 1305641-35/2). Zudem erfolgte infolge der vorgebrachten Sehbeschwerden eine augenärztliche Überweisung. (Nennung vorgesehene ärztliche Termine) (vgl. SEM act. 34). Diesbezüglich ist anzuführen, dass in Kroatien eine ausreichende medizinische Infrastruktur zur Verfügung steht; zudem gibt es keine Anhaltspunkte dafür, dass den Beschwerdeführenden dort nach einer Überstellung eine allenfalls erforderliche medizinische Behandlung verweigert würde, zumal die Mitgliedstaaten zur entsprechenden Erbringung verpflichtet sind (vgl. Art. 26 Aufnahmerichtlinie). Vor diesem Hintergrund kann auf die Nachforderungen von weiteren ärztlichen Berichten mit Blick auf den allfälligen (Nennung Termine) verzichtet werden (antizipierte Beweiswürdigung; vgl. BVGE 2008/24 E. 7.2 S. 357). Der medizinische Sachverhalt ist demnach als genügend abgeklärt zu erachten. Insgesamt droht keine Verletzung von Art. 3 EMRK, weshalb die Schweiz nicht zum Selbsteintritt nach Art. 17 Abs. 1 Dublin-III-VO verpflichtet ist. Aufgrund der konkreten Ausgangslage ist es nicht angezeigt, die Vor-instanz zu verpflichten, bei den kroatischen Behörden individuelle Garantien hinsichtlich Unterkunft, Nahrung und adäquater medizinischer Versorgung einzuholen. Der entsprechende Eventualantrag (Rechtsmitteleingabe S. 14, Ziff. 41) ist abzuweisen.</w:t>
      </w:r>
    </w:p>
    <w:p>
      <w:r>
        <w:rPr>
          <w:b/>
        </w:rPr>
        <w:t>E. 8.5</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der Asylgesuche der Beschwerdeführenden zuständige Mitgliedstaat gemäss Dublin-III-VO.</w:t>
      </w:r>
    </w:p>
    <w:p>
      <w:r>
        <w:rPr>
          <w:b/>
        </w:rPr>
        <w:t>E. 10</w:t>
      </w:r>
    </w:p>
    <w:p>
      <w:r>
        <w:t>Das SEM ist zu Recht in Anwendung von Art. 31a Abs. 1 Bst. b AsylG auf die Asylgesuche der Beschwerdeführenden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8. Februar 2024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der Beschwerdeführenden, an einer gesetzlichen Voraussetzung gemäss Art. 65 Abs. 1 und 2 VwVG. Bei diesem Ausgang des Verfahrens sind ihnen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