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F-8376/2015 vom 19. Dezember 2016</w:t>
      </w:r>
    </w:p>
    <w:p>
      <w:r>
        <w:t>Bundesverwaltungsgericht, 2016-12-19, DE</w:t>
      </w:r>
    </w:p>
    <w:p>
      <w:r>
        <w:rPr>
          <w:b/>
        </w:rPr>
        <w:t xml:space="preserve">Quelle: </w:t>
      </w:r>
      <w:r>
        <w:t>https://mcp.opencaselaw.ch/entscheid/bvger_F-8376_2015</w:t>
      </w:r>
    </w:p>
    <w:p>
      <w:r>
        <w:t>FR: TAF F-8376/2015 du 19 décembre 2016</w:t>
      </w:r>
    </w:p>
    <w:p>
      <w:r>
        <w:t>IT: TAF F-8376/2015 del 19 dicembre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des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legitimiert (Art. 48 Abs. 1 VwVG). Auf die frist- und formgerecht eingereichte Beschwerde ist daher einzutreten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3.1</w:t>
      </w:r>
    </w:p>
    <w:p>
      <w:r>
        <w:t>Gestützt auf Art. 67 AuG kann das SEM gegenüber weggewiesenen ausländischen Personen ein Einreiseverbot verfügen, wenn die Wegweisung nach Art. 64d Abs. 2 Bst. a-c AuG sofort vollstreckt wird oder die betroffene Person der Ausreiseverpflichtung nicht innert Frist nachgekommen ist (Art. 67 Abs. 1 Bst. a und b AuG).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3.2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Bestehen eines Risikos einer künftigen Gefährdung an. Gestützt auf sämtliche Umstände des Einzelfalles ist eine Prognose zu stellen. Dabei ist naturgemäss in erster Linie das vergangene Verhalten der betroffenen Person zu berücksichtigen (vgl. Urteil des BVGer C-3072/2014 vom 3. Februar 2016 E. 3.2. m.H.).</w:t>
      </w:r>
    </w:p>
    <w:p>
      <w:r>
        <w:rPr>
          <w:b/>
        </w:rPr>
        <w:t>E. 3.3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hiesigen Rechte und Pflichten im Zusammenhang mit ausländerrechtlichen Vorschriften ins Bild zu setzen und sich im Falle von Unklarheiten bei der zuständigen Behörde zu erkundigen (vgl. statt vieler Urteil des BVGer C-7411/2014 vom 30. März 2016 E. 4.2 m.H.).</w:t>
      </w:r>
    </w:p>
    <w:p>
      <w:r>
        <w:rPr>
          <w:b/>
        </w:rPr>
        <w:t>E. 4</w:t>
      </w:r>
    </w:p>
    <w:p>
      <w:r>
        <w:t>Wird gegen eine Person, die nicht die Staatsangehörigkeit eines Mitgliedstaates besitzt (Drittstaatangehörige),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 Dezember 2006).</w:t>
      </w:r>
    </w:p>
    <w:p>
      <w:r>
        <w:rPr>
          <w:b/>
        </w:rPr>
        <w:t>E. 5.1</w:t>
      </w:r>
    </w:p>
    <w:p>
      <w:r>
        <w:t>Die Vorinstanz wirft der Beschwerdeführerin in ihrer Verfügung vor, sich mehr als viereinhalb Jahre über den bewilligungsfreien Aufenthalt hinaus rechtswidrig in der Schweiz und/oder im Schengen-Raum aufgehalten zu haben. Damit liege gemäss ständiger Praxis und Rechtsprechung ein Verstoss gegen die öffentliche Sicherheit und Ordnung im Sinne von Art. 67 AuG vor.</w:t>
      </w:r>
    </w:p>
    <w:p>
      <w:r>
        <w:rPr>
          <w:b/>
        </w:rPr>
        <w:t>E. 5.2</w:t>
      </w:r>
    </w:p>
    <w:p>
      <w:r>
        <w:t>Gemäss Art. 6 Abs. 1 Bst. a und b der Verordnung (EU) Nr. 2016/399 des Europäischen Parlaments und des Rates vom 9. März 2016 über einen Gemeinschaftskodex für das Überschreiten der Grenzen durch Personen (Schengener-Grenzkodex, SGK, Abl. L 77/1 vom 23. März 2016; kodifizierter Text) müssen Drittstaatangehörige über ein für den Grenzübertritt anerkanntes Ausweispapier und über ein Visum verfügen, sofern dies erforderlich ist. Von der Visumspflicht befreit sind Personen, die Inhaber eines gültigen Aufenthaltstitels eines Schengen-Staates sind oder über ein Visum zum längerfristigen Aufenthalt verfügen. Diese Dokumente müssen bei Kontrollen vorgewiesen werden können (vgl. Art. 8 SGK). Wird bei einer Kontrolle festgestellt, dass ein Drittstaatangehöriger die Voraussetzungen nicht oder nicht mehr erfüllt, wird sein Aufenthalt als illegal angesehen (vgl. Art. 3 Ziff. 2 der Rückführungsrichtlinie 2008/115/EG vom 16. Dezember 2008, Abl. L 348/98 vom 24. Dezember 2008).</w:t>
      </w:r>
    </w:p>
    <w:p>
      <w:r>
        <w:rPr>
          <w:b/>
        </w:rPr>
        <w:t>E. 5.3</w:t>
      </w:r>
    </w:p>
    <w:p>
      <w:r>
        <w:t>Die von der Beschwerdeführerin anlässlich der Kontrolle des Grenzwachtkorps vorgelegten Dokumente genügten den erwähnten Anforderungen nicht. Zwar verfügte die Beschwerdeführerin zum Zeitpunkt ihrer Einreise in die Schweiz im Jahre 2005 über einen Ausweis für den diplomatischen Aufenthalt. Dieser Aufenthaltstitel ist allerdings nach dem Ausscheiden aus dem diplomatischen Dienst bei der [...] Botschaft in Genf per 30. September 2010 am 14. April 2011 abgelaufen.</w:t>
      </w:r>
    </w:p>
    <w:p>
      <w:r>
        <w:rPr>
          <w:b/>
        </w:rPr>
        <w:t>E. 5.4</w:t>
      </w:r>
    </w:p>
    <w:p>
      <w:r>
        <w:t>Da die Beschwerdeführerin zum Zeitpunkt der Kontrolle weder über einen gültigen Aufenthaltstitel noch über ein zur Einreise in die Schweiz berechtigendes Visum verfügte (vgl. dazu www.sem.admin.ch &gt; Einreise und Aufenthalt &gt; kurzfristiger Aufenthalt &gt; Drittstaatangehörige &gt; Anhang 1, Liste 1: Ausweis- und Visumvorschriften nach Staatsangehörigkeit &gt; Philippinen), ist ihr Aufenthalt als rechtswidrig zu bezeichnen. Die Beschwerdeführerin hat durch ihren viereinhalb Jahre andauernden rechtswidrigen Aufenthalt in der Schweiz einen hinreichenden Grund für die Verhängung einer Fernhaltemassnahme gesetzt.</w:t>
      </w:r>
    </w:p>
    <w:p>
      <w:r>
        <w:rPr>
          <w:b/>
        </w:rPr>
        <w:t>E. 6.1</w:t>
      </w:r>
    </w:p>
    <w:p>
      <w:r>
        <w:t>Den Entscheid darüber, ob ein Eireiseverbot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Die Beschwerdeführerin hielt sich - wie oben ausgeführt - während mehr als viereinhalb Jahren rechtswidrig in der Schweiz und/oder im Schengen-Raum auf. Vorliegend kann somit objektiv nicht von einem leichten Fehlverhalten ausgegangen werden, besteht doch an der Einhaltung der Einreise- und Aufenthaltsvorschriften ein gewichtiges öffentliches Interesse. Dabei liegt insbesondere ein generalpräventiv motiviertes Interesse an der Fernhaltung der Beschwerdeführerin vor, dies auch im Sinne einer kontinuierlichen Praxis. Zudem ist eine spezialpräventive Zielsetzung der Massnahme darin zu sehen, dass sie die Betroffene ermahnt, bei einer allfälligen künftigen Wiedereinreise in die Schweiz nach Ablauf der Dauer des Einreiseverbots die für sie geltenden Regeln einzuhalten (vgl. Urteil des BVGer C-2771/2010 vom 3. Februar 2012 E. 6.1). Es besteht somit ein gewichtiges öffentliches Interesse an einer Fernhaltung der Beschwerdeführerin.</w:t>
      </w:r>
    </w:p>
    <w:p>
      <w:r>
        <w:rPr>
          <w:b/>
        </w:rPr>
        <w:t>E. 6.3</w:t>
      </w:r>
    </w:p>
    <w:p>
      <w:r>
        <w:t>Auch subjektiv gesehen ist das Verhalten der Beschwerdeführerin nicht zu bagatellisieren, hat sie doch durch ihren jahrelangen illegalen Aufenthalt arg gegen die ausländerrechtlichen Bestimmungen verstossen. Gemäss eigenen Aussagen (vgl. SEM-act. 10) hat sie sich zudem seit dem Ausscheiden aus dem Dienst der Botschaft um ihren kranken Lebenspartner gekümmert und dafür ein Entgelt bekommen. Der Lebenspartner sei auch sonst für alle Kosten für die Beschwerdeführerin wie bspw. Kost und Logis aufgekommen. Somit könnte der Beschwerdeführerin durchaus auch eine illegale Erwerbstätigkeit im Sinne von Art. 11 Abs. 2 AuG vorgeworfen werden. Als private Interessen macht die Beschwerdeführerin geltend, dass sie mit ihrem Lebenspartner seit Beginn weg in einer eheähnlichen Partnerschaft gelebt habe und mit diesem in eine gemeinsame Eigentumswohnung eingezogen sei. Damit sei sie eine enge bzw. familiäre Verpflichtung mit ihrem Lebenspartner eingegangen. Dieser sei aus gesundheitlichen Gründen auf eine "Rund-um-die-Uhr-Betreuung" angewiesen und brauche in jeglichen Lebenslagen Unterstützung, die er ausschliesslich durch die Beschwerdeführerin erfüllt haben möchte. Würde ihn die Beschwerdeführerin folglich verlassen, müsste er sich entweder in ein Pflegeheim begeben oder sich anderweitig externe Hilfe holen. Der Schritt zur Eheschliessung sei noch nicht erfolgt, weil sich der Gesundheitszustand des Lebenspartners immer dann dramatisch verschlechtert habe, wenn die Ehepläne wieder konkreter geworden seien.</w:t>
      </w:r>
    </w:p>
    <w:p>
      <w:r>
        <w:rPr>
          <w:b/>
        </w:rPr>
        <w:t>E. 6.4</w:t>
      </w:r>
    </w:p>
    <w:p>
      <w:r>
        <w:t>Es ist darauf hinzuweisen, dass das Einreiseverbot einen Eheschluss in der Schweiz nicht zum vornherein verunmöglicht. In diesem Zusammenhang kann auf die in Art. 67 Abs. 5 AuG vorgesehene Möglichkeit verwiesen werden, Fernhaltemassnahmen aus humanitären oder anderen wichtigen Gründen zeitweilig auszusetzen.</w:t>
      </w:r>
    </w:p>
    <w:p>
      <w:r>
        <w:rPr>
          <w:b/>
        </w:rPr>
        <w:t>E. 6.5</w:t>
      </w:r>
    </w:p>
    <w:p>
      <w:r>
        <w:t>Kommt hinzu, dass kein Anspruch auf Eheschliessung an einem bestimmten Ort besteht (vgl. dazu Urteil des BGer 2C_756/2009 vom 15. Dezember 2009 E. 2.3.2 m.H.). Wesentlich ist, dass eine Ehe überhaupt geschlossen werden kann. In casu wird behauptet, dass es für den Lebenspartner zurzeit nicht möglich sei, auf die Philippinen zu reisen, da sein Gesundheitszustand dies nicht zulasse. Als Beweismittel legte die Beschwerdeführerin ein ärztliches Attest vom 19. Oktober 2015 und vom 22. Oktober 2015 zu den Akten. Bis zum heutigen Zeitpunkt hat die Beschwerdeführerin allerdings noch kein gültiges Gesuch um Erteilung einer Kurzaufenthaltsbewilligung zu Ehevorbereitungszwecken gestellt und somit keine Anhaltspunkte zu bereits unternommenen Schritten in Sachen Eheabschluss geliefert. Nach einer allfälligen Eheschliessung stünde es der Beschwerdeführerin zudem frei, sich zum Zwecke der Regelung des ehelichen Zusammenlebens an die kantonalen Behörden zu wenden und um eine Aufenthaltsbewilligung zu ersuchen. Die Erteilung von Aufenthaltsbewilligungen fällt grundsätzlich in die Zuständigkeit der Kantone, wobei im Falle einer Bewilligungserteilung dann in einem weiteren Schritt das bestehende Einreiseverbot durch die Vorinstanz aufgehoben werden kann (vgl. Urteile des BGer 2C_793/2008 vom 27. März 2009 E. 3.2 m.H.; eingehender BGer 2C_473/2008 vom 17. November 2008 E. 2.3).</w:t>
      </w:r>
    </w:p>
    <w:p>
      <w:r>
        <w:rPr>
          <w:b/>
        </w:rPr>
        <w:t>E. 6.6</w:t>
      </w:r>
    </w:p>
    <w:p>
      <w:r>
        <w:t>Somit steht der Pflege der (zurzeit noch) eheähnlichen Partnerschaft auf Schweizer Boden nicht die angefochtene Verfügung, sondern die fehlende Aufenthaltsbewilligung entgegen. Das Einreiseverbot als solches beeinträchtigt das Interesse der Beschwerdeführerin an einem von staatlichen Eingriffen ungestörten eheähnlichen Zusammenleben nur soweit, als sie für Einreisen in die Schweiz eine Suspension einholen muss (Art. 67 Abs. 5 AuG). Wohl wird die Suspension praxisgemäss nur für kurze und klar begrenzte Zeit gewährt und sie darf das Einreiseverbot nicht aushöhlen. Die damit einhergehenden bzw. damit verbundenen Einschränkungen sind jedoch hinzunehmen, zumal diese zum Schutze der öffentlichen Sicherheit erforderlich sind (Art. 8 Ziff. 2 EMRK).</w:t>
      </w:r>
    </w:p>
    <w:p>
      <w:r>
        <w:rPr>
          <w:b/>
        </w:rPr>
        <w:t>E. 6.7</w:t>
      </w:r>
    </w:p>
    <w:p>
      <w:r>
        <w:t>Diese privaten Interessen vermögen somit weder eine Aufhebung noch eine Verkürzung des Einreiseverbots zu rechtfertigen. Wie eben ausgeführt, sind der Beschwerdeführerin während der Geltungsdauer der Fernhaltemassnahme Besuchsaufenthalte bei ihr nahe stehenden Personen in der Schweiz nicht schlichtweg untersagt; das SEM kann die Fernhaltemassnahme auf begründetes Gesuch hin aus humanitären oder anderen wichtigen Gründen ausnahmsweise befristet suspendieren (vgl. Art. 67 Abs. 5 AuG; BVGE 2013/4 E. 7.4.3 m.H.). Im Übrigen kann der Kontakt zu nahen Personen auch auf andere Weise als durch Besuche in der Schweiz gepflegt werden (z.B. mittels moderner Kommunikationsmittel wie Skype, Facetime oder SMS sowie Besuchen der Freunde im Heimatland).</w:t>
      </w:r>
    </w:p>
    <w:p>
      <w:r>
        <w:rPr>
          <w:b/>
        </w:rPr>
        <w:t>E. 6.8</w:t>
      </w:r>
    </w:p>
    <w:p>
      <w:r>
        <w:t>Eine wertende Gewichtung der sich entgegenstehenden Interessen führt das Bundesverwaltungsgericht zum Schluss, dass das auf drei Jahre befristete Einreiseverbot auch im gegenwärtigen Zeitpunkt und unter Berücksichtigung der gängigen Praxis eine verhältnismässige und angemessene Massnahme zum Schutz der öffentlichen Sicherheit und Ordnung darstellt.</w:t>
      </w:r>
    </w:p>
    <w:p>
      <w:r>
        <w:rPr>
          <w:b/>
        </w:rPr>
        <w:t>E. 7</w:t>
      </w:r>
    </w:p>
    <w:p>
      <w:r>
        <w:t>Aus den Erwägungen ergibt sich, dass die angefochtene Verfügung im Lichte von Art. 49 VwVG nicht zu beanstanden ist. Die Beschwerde ist daher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